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F5E2C" w14:textId="77777777" w:rsidR="005F4208" w:rsidRDefault="005F4208" w:rsidP="005F4208">
      <w:pPr>
        <w:pStyle w:val="NoSpacing"/>
        <w:jc w:val="center"/>
      </w:pPr>
    </w:p>
    <w:p w14:paraId="77916DDE" w14:textId="524A54AD" w:rsidR="00744CFB" w:rsidRDefault="005F4208" w:rsidP="005F4208">
      <w:pPr>
        <w:pStyle w:val="NoSpacing"/>
        <w:jc w:val="center"/>
      </w:pPr>
      <w:r>
        <w:t>BEYOND QRIS ADOPTION: CONVERTING DIGITAL PAYMENT ACCESS INTO SCALABLE MSME OUTCOMES IN INDONESIA</w:t>
      </w:r>
    </w:p>
    <w:p w14:paraId="5F8A619A" w14:textId="77777777" w:rsidR="002B4264" w:rsidRDefault="002B4264" w:rsidP="002B4264">
      <w:pPr>
        <w:spacing w:after="0"/>
        <w:ind w:left="2160" w:firstLine="720"/>
        <w:rPr>
          <w:sz w:val="22"/>
        </w:rPr>
      </w:pPr>
    </w:p>
    <w:p w14:paraId="69810410" w14:textId="4C687CD9" w:rsidR="00744CFB" w:rsidRPr="00A54690" w:rsidRDefault="00715989" w:rsidP="00A54690">
      <w:pPr>
        <w:pStyle w:val="NoSpacing"/>
        <w:jc w:val="center"/>
        <w:rPr>
          <w:b w:val="0"/>
        </w:rPr>
      </w:pPr>
      <w:r w:rsidRPr="00A54690">
        <w:rPr>
          <w:b w:val="0"/>
        </w:rPr>
        <w:t>Author: Albert Yansen</w:t>
      </w:r>
    </w:p>
    <w:p w14:paraId="1585D3F3" w14:textId="4DD24CF1" w:rsidR="00744CFB" w:rsidRPr="00A54690" w:rsidRDefault="00A66C42" w:rsidP="00A54690">
      <w:pPr>
        <w:pStyle w:val="NoSpacing"/>
        <w:jc w:val="center"/>
        <w:rPr>
          <w:b w:val="0"/>
        </w:rPr>
      </w:pPr>
      <w:r w:rsidRPr="00A54690">
        <w:rPr>
          <w:b w:val="0"/>
        </w:rPr>
        <w:t>Email</w:t>
      </w:r>
      <w:r w:rsidR="00715989" w:rsidRPr="00A54690">
        <w:rPr>
          <w:b w:val="0"/>
        </w:rPr>
        <w:t xml:space="preserve">: </w:t>
      </w:r>
      <w:hyperlink r:id="rId8" w:history="1">
        <w:r w:rsidR="00802FDE" w:rsidRPr="00A54690">
          <w:rPr>
            <w:rStyle w:val="Hyperlink"/>
            <w:b w:val="0"/>
            <w:color w:val="auto"/>
            <w:sz w:val="22"/>
            <w:u w:val="none"/>
          </w:rPr>
          <w:t>albert.yansen@gmail.com</w:t>
        </w:r>
      </w:hyperlink>
    </w:p>
    <w:p w14:paraId="066841B7" w14:textId="77777777" w:rsidR="00802FDE" w:rsidRPr="00802FDE" w:rsidRDefault="00802FDE" w:rsidP="00A50E92">
      <w:pPr>
        <w:spacing w:after="0"/>
        <w:ind w:left="2160" w:firstLine="720"/>
        <w:rPr>
          <w:sz w:val="22"/>
        </w:rPr>
      </w:pPr>
    </w:p>
    <w:p w14:paraId="66962CDE" w14:textId="77777777" w:rsidR="00744CFB" w:rsidRPr="00611403" w:rsidRDefault="00715989" w:rsidP="008B3E55">
      <w:pPr>
        <w:pStyle w:val="Heading1"/>
        <w:spacing w:before="0" w:after="0" w:line="240" w:lineRule="auto"/>
      </w:pPr>
      <w:r w:rsidRPr="00611403">
        <w:t>Abstract</w:t>
      </w:r>
    </w:p>
    <w:p w14:paraId="76BA5F70" w14:textId="77777777" w:rsidR="00D72032" w:rsidRPr="00D72032" w:rsidRDefault="00D72032" w:rsidP="008B3E55">
      <w:pPr>
        <w:spacing w:after="0" w:line="240" w:lineRule="auto"/>
        <w:jc w:val="both"/>
      </w:pPr>
      <w:r w:rsidRPr="00D72032">
        <w:t>This study examines whether the rapid expansion of Indonesia’s Quick Response Code Indonesian Standard (QRIS) has created the conditions required for micro, small, and medium enterprise (MSME) scalability. It integrates national indicators for 2020–2025, provincial merchant distribution as of 30 June 2025, quarterly consumer adoption, and QRIS transaction volume and value. A quantitative descriptive-correlational and policy-diagnostic design is employed using trend analysis, year-on-year growth rates, exploratory Pearson correlations, the Herfindahl-Hirschman Index, the Gini coefficient, and a provincial merchant-ecosystem typology.</w:t>
      </w:r>
    </w:p>
    <w:p w14:paraId="66EC3350" w14:textId="77777777" w:rsidR="00D72032" w:rsidRPr="00D72032" w:rsidRDefault="00D72032" w:rsidP="008B3E55">
      <w:pPr>
        <w:spacing w:after="0" w:line="240" w:lineRule="auto"/>
        <w:jc w:val="both"/>
      </w:pPr>
      <w:r w:rsidRPr="00D72032">
        <w:t>The findings show that registered QRIS merchants increased from 13 million in 2020 to 43 million in 2025, while consumer users reached approximately 60 million by the fourth quarter of 2025. In the second quarter of 2025, QRIS processed 1.19 billion transactions worth Rp110 trillion, representing year-on-year growth of 141 percent in volume and 111 percent in value. Merchant expansion was strongly associated with MSME credit and financial literacy, although the short annual series and estimated 2025 MSME values preclude causal interpretation. Provincial adoption was also highly concentrated: the ten largest provincial networks accounted for 79.41 percent of merchants, with an HHI of approximately 1,048 and a Gini coefficient of 0.685.</w:t>
      </w:r>
    </w:p>
    <w:p w14:paraId="0E7965FF" w14:textId="77777777" w:rsidR="00D72032" w:rsidRPr="00D72032" w:rsidRDefault="00D72032" w:rsidP="008B3E55">
      <w:pPr>
        <w:spacing w:after="0" w:line="240" w:lineRule="auto"/>
        <w:jc w:val="both"/>
      </w:pPr>
      <w:r w:rsidRPr="00D72032">
        <w:t>The study contributes an access–usage–capability–scale framework that distinguishes merchant registration from productive digital empowerment. It concludes that QRIS provides essential payment infrastructure, but MSME scalability depends on active usage, financial-management capability, responsible financing, merchant protection, consent-based data governance, and regionally differentiated implementation.</w:t>
      </w:r>
    </w:p>
    <w:p w14:paraId="596492AB" w14:textId="4EDFB1F2" w:rsidR="0070343D" w:rsidRPr="0070343D" w:rsidRDefault="0070343D" w:rsidP="008B3E55">
      <w:pPr>
        <w:spacing w:after="0" w:line="240" w:lineRule="auto"/>
        <w:jc w:val="both"/>
      </w:pPr>
    </w:p>
    <w:p w14:paraId="702BB405" w14:textId="20380D20" w:rsidR="00A54690" w:rsidRPr="00A54690" w:rsidRDefault="00CB7D16" w:rsidP="008B3E55">
      <w:pPr>
        <w:spacing w:after="0" w:line="240" w:lineRule="auto"/>
        <w:jc w:val="both"/>
        <w:rPr>
          <w:rFonts w:cs="Times New Roman"/>
          <w:szCs w:val="24"/>
        </w:rPr>
      </w:pPr>
      <w:r w:rsidRPr="00CB7D16">
        <w:rPr>
          <w:b/>
        </w:rPr>
        <w:t xml:space="preserve">Keywords: </w:t>
      </w:r>
      <w:r w:rsidR="00E47E39">
        <w:t>QRIS; MSME scalability; digital financial inclusion; financial capability; regional concentration</w:t>
      </w:r>
    </w:p>
    <w:p w14:paraId="57A60CA4" w14:textId="29AB5BF4" w:rsidR="00A54690" w:rsidRPr="00A54690" w:rsidRDefault="00A54690" w:rsidP="008B3E55">
      <w:pPr>
        <w:spacing w:after="0" w:line="240" w:lineRule="auto"/>
        <w:jc w:val="both"/>
        <w:rPr>
          <w:rFonts w:cs="Times New Roman"/>
          <w:szCs w:val="24"/>
        </w:rPr>
      </w:pPr>
      <w:r w:rsidRPr="00A54690">
        <w:rPr>
          <w:rFonts w:cs="Times New Roman"/>
          <w:b/>
          <w:bCs/>
          <w:szCs w:val="24"/>
        </w:rPr>
        <w:t>JEL classification:</w:t>
      </w:r>
      <w:r w:rsidRPr="00A54690">
        <w:rPr>
          <w:rFonts w:cs="Times New Roman"/>
          <w:szCs w:val="24"/>
        </w:rPr>
        <w:t xml:space="preserve"> </w:t>
      </w:r>
      <w:r w:rsidR="00625A22">
        <w:t>E42; G28; O16; O33</w:t>
      </w:r>
    </w:p>
    <w:p w14:paraId="60BE8F49" w14:textId="294FAC87" w:rsidR="00744CFB" w:rsidRDefault="00744CFB" w:rsidP="00446304">
      <w:pPr>
        <w:spacing w:after="0"/>
        <w:jc w:val="both"/>
        <w:rPr>
          <w:rFonts w:cs="Times New Roman"/>
          <w:szCs w:val="24"/>
        </w:rPr>
      </w:pPr>
    </w:p>
    <w:p w14:paraId="0CFD461C" w14:textId="77777777" w:rsidR="000F712A" w:rsidRPr="00611403" w:rsidRDefault="000F712A" w:rsidP="00446304">
      <w:pPr>
        <w:spacing w:after="0"/>
        <w:jc w:val="both"/>
        <w:rPr>
          <w:rFonts w:cs="Times New Roman"/>
          <w:szCs w:val="24"/>
        </w:rPr>
      </w:pPr>
    </w:p>
    <w:p w14:paraId="098BC621" w14:textId="77777777" w:rsidR="00744CFB" w:rsidRPr="00611403" w:rsidRDefault="00715989" w:rsidP="00767A77">
      <w:pPr>
        <w:pStyle w:val="Heading1"/>
        <w:spacing w:before="0" w:after="0"/>
      </w:pPr>
      <w:r w:rsidRPr="00611403">
        <w:t>1. Introduction</w:t>
      </w:r>
    </w:p>
    <w:p w14:paraId="523C94F6" w14:textId="2A020969" w:rsidR="00744CFB" w:rsidRPr="00611403" w:rsidRDefault="00715989" w:rsidP="00767A77">
      <w:pPr>
        <w:spacing w:after="0"/>
        <w:jc w:val="both"/>
        <w:rPr>
          <w:rFonts w:cs="Times New Roman"/>
          <w:szCs w:val="24"/>
        </w:rPr>
      </w:pPr>
      <w:r w:rsidRPr="00611403">
        <w:rPr>
          <w:rFonts w:cs="Times New Roman"/>
          <w:szCs w:val="24"/>
        </w:rPr>
        <w:t>Digital finance has become a core instrument in Indonesia's strategy for inclusive financial-sector development. The rapid diffusion of mobile banking, e-wallets, and interoperable payment systems has changed how firms receive, store, and transfer money. QRIS is particularly important because it creates a unified QR payment standard across participating providers</w:t>
      </w:r>
      <w:r w:rsidR="00A643C5">
        <w:rPr>
          <w:rFonts w:cs="Times New Roman"/>
          <w:szCs w:val="24"/>
        </w:rPr>
        <w:t xml:space="preserve"> </w:t>
      </w:r>
      <w:r w:rsidR="00A643C5">
        <w:rPr>
          <w:rFonts w:cs="Times New Roman"/>
          <w:szCs w:val="24"/>
        </w:rPr>
        <w:fldChar w:fldCharType="begin" w:fldLock="1"/>
      </w:r>
      <w:r w:rsidR="00DC7AC9">
        <w:rPr>
          <w:rFonts w:cs="Times New Roman"/>
          <w:szCs w:val="24"/>
        </w:rPr>
        <w:instrText>ADDIN CSL_CITATION {"citationItems":[{"id":"ITEM-1","itemData":{"author":[{"dropping-particle":"","family":"BI","given":"","non-dropping-particle":"","parse-names":false,"suffix":""}],"id":"ITEM-1","issued":{"date-parts":[["2024"]]},"title":"Data perkembangan jumlah merchant Quick Response Code Indonesian Standard (QRIS) di Indonesia periode 2020-2024","type":"article-journal"},"uris":["http://www.mendeley.com/documents/?uuid=5df0135d-c31f-448d-a2c9-08c7caa8606c"]}],"mendeley":{"formattedCitation":"(BI, 2024)","plainTextFormattedCitation":"(BI, 2024)","previouslyFormattedCitation":"(BI, 2024)"},"properties":{"noteIndex":0},"schema":"https://github.com/citation-style-language/schema/raw/master/csl-citation.json"}</w:instrText>
      </w:r>
      <w:r w:rsidR="00A643C5">
        <w:rPr>
          <w:rFonts w:cs="Times New Roman"/>
          <w:szCs w:val="24"/>
        </w:rPr>
        <w:fldChar w:fldCharType="separate"/>
      </w:r>
      <w:r w:rsidR="00A643C5" w:rsidRPr="00A643C5">
        <w:rPr>
          <w:rFonts w:cs="Times New Roman"/>
          <w:noProof/>
          <w:szCs w:val="24"/>
        </w:rPr>
        <w:t>(BI, 2024)</w:t>
      </w:r>
      <w:r w:rsidR="00A643C5">
        <w:rPr>
          <w:rFonts w:cs="Times New Roman"/>
          <w:szCs w:val="24"/>
        </w:rPr>
        <w:fldChar w:fldCharType="end"/>
      </w:r>
      <w:r w:rsidRPr="00611403">
        <w:rPr>
          <w:rFonts w:cs="Times New Roman"/>
          <w:szCs w:val="24"/>
        </w:rPr>
        <w:t xml:space="preserve">. For MSMEs, the system lowers the cost of accepting </w:t>
      </w:r>
      <w:r w:rsidRPr="00611403">
        <w:rPr>
          <w:rFonts w:cs="Times New Roman"/>
          <w:szCs w:val="24"/>
        </w:rPr>
        <w:lastRenderedPageBreak/>
        <w:t>non-cash payments and makes small transactions more visible to the formal financial ecosystem.</w:t>
      </w:r>
    </w:p>
    <w:p w14:paraId="792B8B50" w14:textId="62301F1E" w:rsidR="00744CFB" w:rsidRPr="00611403" w:rsidRDefault="00715989" w:rsidP="00446304">
      <w:pPr>
        <w:spacing w:after="0"/>
        <w:jc w:val="both"/>
        <w:rPr>
          <w:rFonts w:cs="Times New Roman"/>
          <w:szCs w:val="24"/>
        </w:rPr>
      </w:pPr>
      <w:r w:rsidRPr="00611403">
        <w:rPr>
          <w:rFonts w:cs="Times New Roman"/>
          <w:szCs w:val="24"/>
        </w:rPr>
        <w:t>The Karisma OJKI 2026 theme, 'Empowering MSMEs in the Digital Ecosystem to Accelerate Economies of Scale', requires analysis that goes beyond digital adoption as a headline achievement. MSME empowerment is not completed when a merchant receives a QR code</w:t>
      </w:r>
      <w:r w:rsidR="00BE663F">
        <w:rPr>
          <w:rFonts w:cs="Times New Roman"/>
          <w:szCs w:val="24"/>
        </w:rPr>
        <w:t xml:space="preserve"> </w:t>
      </w:r>
      <w:r w:rsidR="00BE663F">
        <w:rPr>
          <w:rFonts w:cs="Times New Roman"/>
          <w:szCs w:val="24"/>
        </w:rPr>
        <w:fldChar w:fldCharType="begin" w:fldLock="1"/>
      </w:r>
      <w:r w:rsidR="005372F2">
        <w:rPr>
          <w:rFonts w:cs="Times New Roman"/>
          <w:szCs w:val="24"/>
        </w:rPr>
        <w:instrText>ADDIN CSL_CITATION {"citationItems":[{"id":"ITEM-1","itemData":{"author":[{"dropping-particle":"","family":"OJK","given":"","non-dropping-particle":"","parse-names":false,"suffix":""}],"id":"ITEM-1","issued":{"date-parts":[["2026"]]},"title":"Sosialisasi Kegiatan KARISMA OJK Paper Award 2026","type":"article-journal"},"uris":["http://www.mendeley.com/documents/?uuid=f28fdf6d-2248-4f43-ae75-aca18b07bba3"]}],"mendeley":{"formattedCitation":"(OJK, 2026)","plainTextFormattedCitation":"(OJK, 2026)","previouslyFormattedCitation":"(OJK, 2026)"},"properties":{"noteIndex":0},"schema":"https://github.com/citation-style-language/schema/raw/master/csl-citation.json"}</w:instrText>
      </w:r>
      <w:r w:rsidR="00BE663F">
        <w:rPr>
          <w:rFonts w:cs="Times New Roman"/>
          <w:szCs w:val="24"/>
        </w:rPr>
        <w:fldChar w:fldCharType="separate"/>
      </w:r>
      <w:r w:rsidR="00BE663F" w:rsidRPr="00BE663F">
        <w:rPr>
          <w:rFonts w:cs="Times New Roman"/>
          <w:noProof/>
          <w:szCs w:val="24"/>
        </w:rPr>
        <w:t>(OJK, 2026)</w:t>
      </w:r>
      <w:r w:rsidR="00BE663F">
        <w:rPr>
          <w:rFonts w:cs="Times New Roman"/>
          <w:szCs w:val="24"/>
        </w:rPr>
        <w:fldChar w:fldCharType="end"/>
      </w:r>
      <w:r w:rsidRPr="00611403">
        <w:rPr>
          <w:rFonts w:cs="Times New Roman"/>
          <w:szCs w:val="24"/>
        </w:rPr>
        <w:t>. Digital infrastructure becomes economically meaningful only when MSMEs use it to improve liquidity management, strengthen transaction documentation, access appropriate finance, reach more consumers, and scale without proportionally increasing costs.</w:t>
      </w:r>
    </w:p>
    <w:p w14:paraId="168C7620" w14:textId="0B02B04F" w:rsidR="00744CFB" w:rsidRPr="00611403" w:rsidRDefault="00715989" w:rsidP="00446304">
      <w:pPr>
        <w:spacing w:after="0"/>
        <w:jc w:val="both"/>
        <w:rPr>
          <w:rFonts w:cs="Times New Roman"/>
          <w:szCs w:val="24"/>
        </w:rPr>
      </w:pPr>
      <w:r w:rsidRPr="00611403">
        <w:rPr>
          <w:rFonts w:cs="Times New Roman"/>
          <w:szCs w:val="24"/>
        </w:rPr>
        <w:t>This distinction is central to the present study. QRIS can expand quickly because onboarding is administratively simple and does not require the same investment as conventional point-of-sale infrastructure. MSME capability develops more slowly because it depends on financial literacy, bookkeeping discipline, data security awareness, loan-readiness, business planning, and trust in formal financial institutions</w:t>
      </w:r>
      <w:r w:rsidR="00DC7AC9">
        <w:rPr>
          <w:rFonts w:cs="Times New Roman"/>
          <w:szCs w:val="24"/>
        </w:rPr>
        <w:t xml:space="preserve"> </w:t>
      </w:r>
      <w:r w:rsidR="00DC7AC9">
        <w:rPr>
          <w:rFonts w:cs="Times New Roman"/>
          <w:szCs w:val="24"/>
        </w:rPr>
        <w:fldChar w:fldCharType="begin" w:fldLock="1"/>
      </w:r>
      <w:r w:rsidR="006A2BC4">
        <w:rPr>
          <w:rFonts w:cs="Times New Roman"/>
          <w:szCs w:val="24"/>
        </w:rPr>
        <w:instrText>ADDIN CSL_CITATION {"citationItems":[{"id":"ITEM-1","itemData":{"author":[{"dropping-particle":"","family":"OJK","given":"","non-dropping-particle":"","parse-names":false,"suffix":""}],"id":"ITEM-1","issued":{"date-parts":[["2024"]]},"title":"Hasil Survei Nasional Literasi dan Inklusi Keuangan (SNLIK) 2024","type":"article-journal"},"uris":["http://www.mendeley.com/documents/?uuid=b259c813-70ec-4903-943f-7a1f37fb7433"]}],"mendeley":{"formattedCitation":"(OJK, 2024a)","plainTextFormattedCitation":"(OJK, 2024a)","previouslyFormattedCitation":"(OJK, 2024a)"},"properties":{"noteIndex":0},"schema":"https://github.com/citation-style-language/schema/raw/master/csl-citation.json"}</w:instrText>
      </w:r>
      <w:r w:rsidR="00DC7AC9">
        <w:rPr>
          <w:rFonts w:cs="Times New Roman"/>
          <w:szCs w:val="24"/>
        </w:rPr>
        <w:fldChar w:fldCharType="separate"/>
      </w:r>
      <w:r w:rsidR="002427D2" w:rsidRPr="002427D2">
        <w:rPr>
          <w:rFonts w:cs="Times New Roman"/>
          <w:noProof/>
          <w:szCs w:val="24"/>
        </w:rPr>
        <w:t>(OJK, 2024a)</w:t>
      </w:r>
      <w:r w:rsidR="00DC7AC9">
        <w:rPr>
          <w:rFonts w:cs="Times New Roman"/>
          <w:szCs w:val="24"/>
        </w:rPr>
        <w:fldChar w:fldCharType="end"/>
      </w:r>
      <w:r w:rsidRPr="00611403">
        <w:rPr>
          <w:rFonts w:cs="Times New Roman"/>
          <w:szCs w:val="24"/>
        </w:rPr>
        <w:t>. The policy risk is that a country may achieve impressive digital-payment access while many small firms remain unable to convert that access into productivity, creditworthiness, and economies of scale.</w:t>
      </w:r>
    </w:p>
    <w:p w14:paraId="259C590E" w14:textId="71BF6DCD" w:rsidR="00744CFB" w:rsidRPr="00611403" w:rsidRDefault="00715989" w:rsidP="00446304">
      <w:pPr>
        <w:spacing w:after="0"/>
        <w:jc w:val="both"/>
        <w:rPr>
          <w:rFonts w:cs="Times New Roman"/>
          <w:szCs w:val="24"/>
        </w:rPr>
      </w:pPr>
      <w:r w:rsidRPr="00611403">
        <w:rPr>
          <w:rFonts w:cs="Times New Roman"/>
          <w:szCs w:val="24"/>
        </w:rPr>
        <w:t>The study therefore examines the access-capability gap in Indonesia's QRIS-MSME ecosystem. It first evaluates national movements in QRIS merchants, financial literacy, financial inclusion, MSME credit, and MSME counts from 2020 to 202</w:t>
      </w:r>
      <w:r w:rsidR="009E6F9F">
        <w:rPr>
          <w:rFonts w:cs="Times New Roman"/>
          <w:szCs w:val="24"/>
        </w:rPr>
        <w:t>5</w:t>
      </w:r>
      <w:r w:rsidRPr="00611403">
        <w:rPr>
          <w:rFonts w:cs="Times New Roman"/>
          <w:szCs w:val="24"/>
        </w:rPr>
        <w:t>. It then extends the analysis to provincial QRIS merchants and provincial internet access in 202</w:t>
      </w:r>
      <w:r w:rsidR="009E6F9F">
        <w:rPr>
          <w:rFonts w:cs="Times New Roman"/>
          <w:szCs w:val="24"/>
        </w:rPr>
        <w:t>5</w:t>
      </w:r>
      <w:r w:rsidRPr="00611403">
        <w:rPr>
          <w:rFonts w:cs="Times New Roman"/>
          <w:szCs w:val="24"/>
        </w:rPr>
        <w:t>. This provincial layer is added to address a weakness in purely national analysis: a five-year time series can describe broad trends, but it is too short to support strong statistical claims. Cross-provincial analysis helps identify regional variation and strengthens the policy interpretation.</w:t>
      </w:r>
    </w:p>
    <w:p w14:paraId="7A114719" w14:textId="4DADDA5F" w:rsidR="00744CFB" w:rsidRDefault="00715989" w:rsidP="007F0FE1">
      <w:pPr>
        <w:spacing w:after="0"/>
        <w:jc w:val="both"/>
        <w:rPr>
          <w:rFonts w:cs="Times New Roman"/>
          <w:szCs w:val="24"/>
        </w:rPr>
      </w:pPr>
      <w:r w:rsidRPr="00611403">
        <w:rPr>
          <w:rFonts w:cs="Times New Roman"/>
          <w:szCs w:val="24"/>
        </w:rPr>
        <w:t>The paper does not claim that QRIS causes MSME credit growth or business scalability. Its contribution is more precise: it assesses whether payment access, financial capability, financing indicators, and digital connectivity move in compatible directions, and it identifies where the gaps are most visible. This framing is more useful for regulation because it separates access, usage, readiness, and scale instead of treating merchant registration as empowerment in itself.</w:t>
      </w:r>
    </w:p>
    <w:p w14:paraId="219F3E16" w14:textId="77777777" w:rsidR="000C287C" w:rsidRPr="00611403" w:rsidRDefault="000C287C" w:rsidP="007F0FE1">
      <w:pPr>
        <w:spacing w:after="0"/>
        <w:jc w:val="both"/>
        <w:rPr>
          <w:rFonts w:cs="Times New Roman"/>
          <w:szCs w:val="24"/>
        </w:rPr>
      </w:pPr>
    </w:p>
    <w:p w14:paraId="03E18232" w14:textId="77777777" w:rsidR="00744CFB" w:rsidRPr="007F0FE1" w:rsidRDefault="00715989" w:rsidP="007F0FE1">
      <w:pPr>
        <w:pStyle w:val="Heading2"/>
        <w:spacing w:before="0" w:after="0"/>
      </w:pPr>
      <w:r w:rsidRPr="007F0FE1">
        <w:lastRenderedPageBreak/>
        <w:t>1.1 Research Gap</w:t>
      </w:r>
    </w:p>
    <w:p w14:paraId="7D4C723B" w14:textId="7DC4CD9B" w:rsidR="00744CFB" w:rsidRPr="00611403" w:rsidRDefault="00715989" w:rsidP="007F0FE1">
      <w:pPr>
        <w:spacing w:after="0"/>
        <w:ind w:left="360"/>
        <w:jc w:val="both"/>
        <w:rPr>
          <w:rFonts w:cs="Times New Roman"/>
          <w:szCs w:val="24"/>
        </w:rPr>
      </w:pPr>
      <w:r w:rsidRPr="00611403">
        <w:rPr>
          <w:rFonts w:cs="Times New Roman"/>
          <w:szCs w:val="24"/>
        </w:rPr>
        <w:t xml:space="preserve">Existing MSME finance literature explains why smaller firms face financing constraints: asymmetric information, collateral limitations, weak financial records, and high monitoring costs can reduce lenders' willingness to provide credit </w:t>
      </w:r>
      <w:r w:rsidR="00434AB0">
        <w:rPr>
          <w:rFonts w:cs="Times New Roman"/>
          <w:szCs w:val="24"/>
        </w:rPr>
        <w:fldChar w:fldCharType="begin" w:fldLock="1"/>
      </w:r>
      <w:r w:rsidR="00AE6299">
        <w:rPr>
          <w:rFonts w:cs="Times New Roman"/>
          <w:szCs w:val="24"/>
        </w:rPr>
        <w:instrText>ADDIN CSL_CITATION {"citationItems":[{"id":"ITEM-1","itemData":{"DOI":"10.1007/s40804-020-00183-y","ISSN":"1566-7529","author":[{"dropping-particle":"","family":"Arner","given":"Douglas W.","non-dropping-particle":"","parse-names":false,"suffix":""},{"dropping-particle":"","family":"Buckley","given":"Ross P.","non-dropping-particle":"","parse-names":false,"suffix":""},{"dropping-particle":"","family":"Zetzsche","given":"Dirk A.","non-dropping-particle":"","parse-names":false,"suffix":""},{"dropping-particle":"","family":"Veidt","given":"Robin","non-dropping-particle":"","parse-names":false,"suffix":""}],"container-title":"European Business Organization Law Review","id":"ITEM-1","issue":"1","issued":{"date-parts":[["2020","3","23"]]},"page":"7-35","title":"Sustainability, FinTech and Financial Inclusion","type":"article-journal","volume":"21"},"uris":["http://www.mendeley.com/documents/?uuid=dd60d8de-3528-4927-bc9e-b63620521932"]}],"mendeley":{"formattedCitation":"(Arner et al., 2020)","manualFormatting":"(Arner et al., 2020","plainTextFormattedCitation":"(Arner et al., 2020)","previouslyFormattedCitation":"(Arner et al., 2020)"},"properties":{"noteIndex":0},"schema":"https://github.com/citation-style-language/schema/raw/master/csl-citation.json"}</w:instrText>
      </w:r>
      <w:r w:rsidR="00434AB0">
        <w:rPr>
          <w:rFonts w:cs="Times New Roman"/>
          <w:szCs w:val="24"/>
        </w:rPr>
        <w:fldChar w:fldCharType="separate"/>
      </w:r>
      <w:r w:rsidR="00434AB0" w:rsidRPr="00434AB0">
        <w:rPr>
          <w:rFonts w:cs="Times New Roman"/>
          <w:noProof/>
          <w:szCs w:val="24"/>
        </w:rPr>
        <w:t>(Arner et al., 2020</w:t>
      </w:r>
      <w:r w:rsidR="00434AB0">
        <w:rPr>
          <w:rFonts w:cs="Times New Roman"/>
          <w:szCs w:val="24"/>
        </w:rPr>
        <w:fldChar w:fldCharType="end"/>
      </w:r>
      <w:r w:rsidR="00AE6299">
        <w:rPr>
          <w:rFonts w:cs="Times New Roman"/>
          <w:szCs w:val="24"/>
        </w:rPr>
        <w:t xml:space="preserve">; </w:t>
      </w:r>
      <w:r w:rsidR="00434AB0">
        <w:rPr>
          <w:rFonts w:cs="Times New Roman"/>
          <w:szCs w:val="24"/>
        </w:rPr>
        <w:fldChar w:fldCharType="begin" w:fldLock="1"/>
      </w:r>
      <w:r w:rsidR="00B06290">
        <w:rPr>
          <w:rFonts w:cs="Times New Roman"/>
          <w:szCs w:val="24"/>
        </w:rPr>
        <w:instrText>ADDIN CSL_CITATION {"citationItems":[{"id":"ITEM-1","itemData":{"DOI":"10.1016/j.jbankfin.2006.05.003","ISSN":"03784266","author":[{"dropping-particle":"","family":"Voordeckers","given":"Wim","non-dropping-particle":"","parse-names":false,"suffix":""},{"dropping-particle":"","family":"Steijvers","given":"Tensie","non-dropping-particle":"","parse-names":false,"suffix":""}],"container-title":"Journal of Banking &amp; Finance","id":"ITEM-1","issue":"11","issued":{"date-parts":[["2006","11"]]},"page":"3067-3086","title":"Business collateral and personal commitments in SME lending","type":"article-journal","volume":"30"},"uris":["http://www.mendeley.com/documents/?uuid=0eeb450d-87cc-437f-948c-0545d1d2e5ce"]}],"mendeley":{"formattedCitation":"(Voordeckers &amp; Steijvers, 2006)","manualFormatting":"Voordeckers &amp; Steijvers, 2006","plainTextFormattedCitation":"(Voordeckers &amp; Steijvers, 2006)","previouslyFormattedCitation":"(Voordeckers &amp; Steijvers, 2006)"},"properties":{"noteIndex":0},"schema":"https://github.com/citation-style-language/schema/raw/master/csl-citation.json"}</w:instrText>
      </w:r>
      <w:r w:rsidR="00434AB0">
        <w:rPr>
          <w:rFonts w:cs="Times New Roman"/>
          <w:szCs w:val="24"/>
        </w:rPr>
        <w:fldChar w:fldCharType="separate"/>
      </w:r>
      <w:r w:rsidR="00434AB0" w:rsidRPr="00434AB0">
        <w:rPr>
          <w:rFonts w:cs="Times New Roman"/>
          <w:noProof/>
          <w:szCs w:val="24"/>
        </w:rPr>
        <w:t>Voordeckers &amp; Steijvers, 2006</w:t>
      </w:r>
      <w:r w:rsidR="00434AB0">
        <w:rPr>
          <w:rFonts w:cs="Times New Roman"/>
          <w:szCs w:val="24"/>
        </w:rPr>
        <w:fldChar w:fldCharType="end"/>
      </w:r>
      <w:r w:rsidRPr="00611403">
        <w:rPr>
          <w:rFonts w:cs="Times New Roman"/>
          <w:szCs w:val="24"/>
        </w:rPr>
        <w:t>;</w:t>
      </w:r>
      <w:r w:rsidR="00434AB0">
        <w:rPr>
          <w:rFonts w:cs="Times New Roman"/>
          <w:szCs w:val="24"/>
        </w:rPr>
        <w:t xml:space="preserve"> </w:t>
      </w:r>
      <w:r w:rsidR="00434AB0">
        <w:rPr>
          <w:rFonts w:cs="Times New Roman"/>
          <w:szCs w:val="24"/>
        </w:rPr>
        <w:fldChar w:fldCharType="begin" w:fldLock="1"/>
      </w:r>
      <w:r w:rsidR="00AE6299">
        <w:rPr>
          <w:rFonts w:cs="Times New Roman"/>
          <w:szCs w:val="24"/>
        </w:rPr>
        <w:instrText>ADDIN CSL_CITATION {"citationItems":[{"id":"ITEM-1","itemData":{"DOI":"10.1016/j.jbankfin.2006.05.008","ISSN":"03784266","author":[{"dropping-particle":"","family":"Berger","given":"Allen N.","non-dropping-particle":"","parse-names":false,"suffix":""},{"dropping-particle":"","family":"Udell","given":"Gregory F.","non-dropping-particle":"","parse-names":false,"suffix":""}],"container-title":"Journal of Banking &amp; Finance","id":"ITEM-1","issue":"11","issued":{"date-parts":[["2006","11"]]},"page":"2945-2966","title":"A more complete conceptual framework for SME finance","type":"article-journal","volume":"30"},"uris":["http://www.mendeley.com/documents/?uuid=d261129d-385b-4a53-a33a-b9d7659b20ec"]}],"mendeley":{"formattedCitation":"(Berger &amp; Udell, 2006)","manualFormatting":"Berger &amp; Udell, 2006","plainTextFormattedCitation":"(Berger &amp; Udell, 2006)","previouslyFormattedCitation":"(Berger &amp; Udell, 2006)"},"properties":{"noteIndex":0},"schema":"https://github.com/citation-style-language/schema/raw/master/csl-citation.json"}</w:instrText>
      </w:r>
      <w:r w:rsidR="00434AB0">
        <w:rPr>
          <w:rFonts w:cs="Times New Roman"/>
          <w:szCs w:val="24"/>
        </w:rPr>
        <w:fldChar w:fldCharType="separate"/>
      </w:r>
      <w:r w:rsidR="00434AB0" w:rsidRPr="00434AB0">
        <w:rPr>
          <w:rFonts w:cs="Times New Roman"/>
          <w:noProof/>
          <w:szCs w:val="24"/>
        </w:rPr>
        <w:t>Berger &amp; Udell, 2006</w:t>
      </w:r>
      <w:r w:rsidR="00434AB0">
        <w:rPr>
          <w:rFonts w:cs="Times New Roman"/>
          <w:szCs w:val="24"/>
        </w:rPr>
        <w:fldChar w:fldCharType="end"/>
      </w:r>
      <w:r w:rsidRPr="00611403">
        <w:rPr>
          <w:rFonts w:cs="Times New Roman"/>
          <w:szCs w:val="24"/>
        </w:rPr>
        <w:t>;</w:t>
      </w:r>
      <w:r w:rsidR="00B06290">
        <w:rPr>
          <w:rFonts w:cs="Times New Roman"/>
          <w:szCs w:val="24"/>
        </w:rPr>
        <w:fldChar w:fldCharType="begin" w:fldLock="1"/>
      </w:r>
      <w:r w:rsidR="00B06290">
        <w:rPr>
          <w:rFonts w:cs="Times New Roman"/>
          <w:szCs w:val="24"/>
        </w:rPr>
        <w:instrText>ADDIN CSL_CITATION {"citationItems":[{"id":"ITEM-1","itemData":{"DOI":"10.1111/j.1540-6261.1994.tb04418.x","ISSN":"0022-1082","abstract":"This paper empirically examines how ties between a firm and its creditors affect the availability and cost of funds to the firm. We analyze data collected in a survey of small firms by the Small Business Administration. The primary benefit of building close ties with an institutional creditor is that the availability of financing increases. We find smaller effects on the price of credit. Attempts to widen the circle of relationships by borrowing from multiple lenders increases the price and reduces the availability of credit. In sum, relationships are valuable and appear to operate more through quantities rather than prices.","author":[{"dropping-particle":"","family":"Petersen","given":"Mitchell A.","non-dropping-particle":"","parse-names":false,"suffix":""},{"dropping-particle":"","family":"Rajan","given":"Raghuram G.","non-dropping-particle":"","parse-names":false,"suffix":""}],"container-title":"The Journal of Finance","id":"ITEM-1","issue":"1","issued":{"date-parts":[["1994","3","30"]]},"page":"3-37","title":"The Benefits of Lending Relationships: Evidence from Small Business Data","type":"article-journal","volume":"49"},"uris":["http://www.mendeley.com/documents/?uuid=7165e775-e54d-4bd6-bc36-7b57c5125708"]}],"mendeley":{"formattedCitation":"(Petersen &amp; Rajan, 1994)","manualFormatting":" Petersen &amp; Rajan, 1994","plainTextFormattedCitation":"(Petersen &amp; Rajan, 1994)"},"properties":{"noteIndex":0},"schema":"https://github.com/citation-style-language/schema/raw/master/csl-citation.json"}</w:instrText>
      </w:r>
      <w:r w:rsidR="00B06290">
        <w:rPr>
          <w:rFonts w:cs="Times New Roman"/>
          <w:szCs w:val="24"/>
        </w:rPr>
        <w:fldChar w:fldCharType="separate"/>
      </w:r>
      <w:r w:rsidR="00B06290">
        <w:rPr>
          <w:rFonts w:cs="Times New Roman"/>
          <w:noProof/>
          <w:szCs w:val="24"/>
        </w:rPr>
        <w:t xml:space="preserve"> </w:t>
      </w:r>
      <w:r w:rsidR="00B06290" w:rsidRPr="00B06290">
        <w:rPr>
          <w:rFonts w:cs="Times New Roman"/>
          <w:noProof/>
          <w:szCs w:val="24"/>
        </w:rPr>
        <w:t>Petersen &amp; Rajan, 1994</w:t>
      </w:r>
      <w:r w:rsidR="00B06290">
        <w:rPr>
          <w:rFonts w:cs="Times New Roman"/>
          <w:szCs w:val="24"/>
        </w:rPr>
        <w:fldChar w:fldCharType="end"/>
      </w:r>
      <w:r w:rsidRPr="00611403">
        <w:rPr>
          <w:rFonts w:cs="Times New Roman"/>
          <w:szCs w:val="24"/>
        </w:rPr>
        <w:t xml:space="preserve">; </w:t>
      </w:r>
      <w:r w:rsidR="00434AB0">
        <w:rPr>
          <w:rFonts w:cs="Times New Roman"/>
          <w:szCs w:val="24"/>
        </w:rPr>
        <w:fldChar w:fldCharType="begin" w:fldLock="1"/>
      </w:r>
      <w:r w:rsidR="00AE6299">
        <w:rPr>
          <w:rFonts w:cs="Times New Roman"/>
          <w:szCs w:val="24"/>
        </w:rPr>
        <w:instrText>ADDIN CSL_CITATION {"citationItems":[{"id":"ITEM-1","itemData":{"author":[{"dropping-particle":"","family":"Weiss","given":"Joseph E. Stiglitz; Andrew","non-dropping-particle":"","parse-names":false,"suffix":""}],"container-title":"The American Economic Review","id":"ITEM-1","issue":"3","issued":{"date-parts":[["1981"]]},"page":"393–410","title":"Credit Rationing in Markets with Imperfect Information","type":"article-journal","volume":"71"},"uris":["http://www.mendeley.com/documents/?uuid=61695237-9b72-4e51-bdbd-ded781c14aeb"]}],"mendeley":{"formattedCitation":"(Weiss, 1981)","manualFormatting":"Weiss, 1981)","plainTextFormattedCitation":"(Weiss, 1981)","previouslyFormattedCitation":"(Weiss, 1981)"},"properties":{"noteIndex":0},"schema":"https://github.com/citation-style-language/schema/raw/master/csl-citation.json"}</w:instrText>
      </w:r>
      <w:r w:rsidR="00434AB0">
        <w:rPr>
          <w:rFonts w:cs="Times New Roman"/>
          <w:szCs w:val="24"/>
        </w:rPr>
        <w:fldChar w:fldCharType="separate"/>
      </w:r>
      <w:r w:rsidR="00434AB0" w:rsidRPr="00434AB0">
        <w:rPr>
          <w:rFonts w:cs="Times New Roman"/>
          <w:noProof/>
          <w:szCs w:val="24"/>
        </w:rPr>
        <w:t>Weiss, 1981)</w:t>
      </w:r>
      <w:r w:rsidR="00434AB0">
        <w:rPr>
          <w:rFonts w:cs="Times New Roman"/>
          <w:szCs w:val="24"/>
        </w:rPr>
        <w:fldChar w:fldCharType="end"/>
      </w:r>
      <w:r w:rsidRPr="00611403">
        <w:rPr>
          <w:rFonts w:cs="Times New Roman"/>
          <w:szCs w:val="24"/>
        </w:rPr>
        <w:t xml:space="preserve">. Digital financial services can partly reduce these constraints by lowering transaction costs and generating data footprints </w:t>
      </w:r>
      <w:r w:rsidR="00434AB0">
        <w:rPr>
          <w:rFonts w:cs="Times New Roman"/>
          <w:szCs w:val="24"/>
        </w:rPr>
        <w:fldChar w:fldCharType="begin" w:fldLock="1"/>
      </w:r>
      <w:r w:rsidR="00D259A6">
        <w:rPr>
          <w:rFonts w:cs="Times New Roman"/>
          <w:szCs w:val="24"/>
        </w:rPr>
        <w:instrText>ADDIN CSL_CITATION {"citationItems":[{"id":"ITEM-1","itemData":{"DOI":"10.1093/rfs/hhz134","ISSN":"0893-9454","abstract":"Using a comprehensive database of coastal home sales merged with data on elevation relative to local tides, we compare prices for houses based on their inundation threshold under projections of sea level rise. The analysis separates the sensitivity of housing to rising seas from other confounding characteristics by exploiting cross-sectional differences in relative sea level rise due to vertical land motion. This provides variation in the expected time to inundation for properties of similar elevation and distance from the coast. In a variety of specifications and test settings, we find precisely estimated null results suggesting limited price effects.","author":[{"dropping-particle":"","family":"Murfin","given":"Justin","non-dropping-particle":"","parse-names":false,"suffix":""},{"dropping-particle":"","family":"Spiegel","given":"Matthew","non-dropping-particle":"","parse-names":false,"suffix":""}],"container-title":"The Review of Financial Studies","editor":[{"dropping-particle":"","family":"Scheinkman","given":"Jose","non-dropping-particle":"","parse-names":false,"suffix":""}],"id":"ITEM-1","issue":"3","issued":{"date-parts":[["2020","3","1"]]},"page":"1217-1255","title":"Is the Risk of Sea Level Rise Capitalized in Residential Real Estate?","type":"article-journal","volume":"33"},"uris":["http://www.mendeley.com/documents/?uuid=6410b8a7-e748-405d-b464-18ad90ff99d1"]}],"mendeley":{"formattedCitation":"(Murfin &amp; Spiegel, 2020)","manualFormatting":"(Murfin &amp; Spiegel, 2020","plainTextFormattedCitation":"(Murfin &amp; Spiegel, 2020)","previouslyFormattedCitation":"(Murfin &amp; Spiegel, 2020)"},"properties":{"noteIndex":0},"schema":"https://github.com/citation-style-language/schema/raw/master/csl-citation.json"}</w:instrText>
      </w:r>
      <w:r w:rsidR="00434AB0">
        <w:rPr>
          <w:rFonts w:cs="Times New Roman"/>
          <w:szCs w:val="24"/>
        </w:rPr>
        <w:fldChar w:fldCharType="separate"/>
      </w:r>
      <w:r w:rsidR="00434AB0" w:rsidRPr="00434AB0">
        <w:rPr>
          <w:rFonts w:cs="Times New Roman"/>
          <w:noProof/>
          <w:szCs w:val="24"/>
        </w:rPr>
        <w:t>(Murfin &amp; Spiegel, 2020</w:t>
      </w:r>
      <w:r w:rsidR="00434AB0">
        <w:rPr>
          <w:rFonts w:cs="Times New Roman"/>
          <w:szCs w:val="24"/>
        </w:rPr>
        <w:fldChar w:fldCharType="end"/>
      </w:r>
      <w:r w:rsidRPr="00611403">
        <w:rPr>
          <w:rFonts w:cs="Times New Roman"/>
          <w:szCs w:val="24"/>
        </w:rPr>
        <w:t xml:space="preserve">; </w:t>
      </w:r>
      <w:r w:rsidR="00434AB0">
        <w:rPr>
          <w:rFonts w:cs="Times New Roman"/>
          <w:szCs w:val="24"/>
        </w:rPr>
        <w:fldChar w:fldCharType="begin" w:fldLock="1"/>
      </w:r>
      <w:r w:rsidR="00D259A6">
        <w:rPr>
          <w:rFonts w:cs="Times New Roman"/>
          <w:szCs w:val="24"/>
        </w:rPr>
        <w:instrText>ADDIN CSL_CITATION {"citationItems":[{"id":"ITEM-1","itemData":{"DOI":"10.2307/2673896","ISSN":"00222879","author":[{"dropping-particle":"","family":"Frame","given":"W. Scott","non-dropping-particle":"","parse-names":false,"suffix":""},{"dropping-particle":"","family":"Srinivasan","given":"Aruna","non-dropping-particle":"","parse-names":false,"suffix":""},{"dropping-particle":"","family":"Woosley","given":"Lynn","non-dropping-particle":"","parse-names":false,"suffix":""}],"container-title":"Journal of Money, Credit and Banking","id":"ITEM-1","issue":"3","issued":{"date-parts":[["2001","8"]]},"page":"813","title":"The Effect of Credit Scoring on Small-Business Lending","type":"article-journal","volume":"33"},"uris":["http://www.mendeley.com/documents/?uuid=3fb2be36-ea4c-403c-92d9-d0dbf6bd03c7"]}],"mendeley":{"formattedCitation":"(Frame et al., 2001)","manualFormatting":"Frame et al., 2001","plainTextFormattedCitation":"(Frame et al., 2001)","previouslyFormattedCitation":"(Frame et al., 2001)"},"properties":{"noteIndex":0},"schema":"https://github.com/citation-style-language/schema/raw/master/csl-citation.json"}</w:instrText>
      </w:r>
      <w:r w:rsidR="00434AB0">
        <w:rPr>
          <w:rFonts w:cs="Times New Roman"/>
          <w:szCs w:val="24"/>
        </w:rPr>
        <w:fldChar w:fldCharType="separate"/>
      </w:r>
      <w:r w:rsidR="00434AB0" w:rsidRPr="00434AB0">
        <w:rPr>
          <w:rFonts w:cs="Times New Roman"/>
          <w:noProof/>
          <w:szCs w:val="24"/>
        </w:rPr>
        <w:t>Frame et al., 2001</w:t>
      </w:r>
      <w:r w:rsidR="00434AB0">
        <w:rPr>
          <w:rFonts w:cs="Times New Roman"/>
          <w:szCs w:val="24"/>
        </w:rPr>
        <w:fldChar w:fldCharType="end"/>
      </w:r>
      <w:r w:rsidRPr="00611403">
        <w:rPr>
          <w:rFonts w:cs="Times New Roman"/>
          <w:szCs w:val="24"/>
        </w:rPr>
        <w:t xml:space="preserve">; </w:t>
      </w:r>
      <w:r w:rsidR="00434AB0">
        <w:rPr>
          <w:rFonts w:cs="Times New Roman"/>
          <w:szCs w:val="24"/>
        </w:rPr>
        <w:fldChar w:fldCharType="begin" w:fldLock="1"/>
      </w:r>
      <w:r w:rsidR="00D259A6">
        <w:rPr>
          <w:rFonts w:cs="Times New Roman"/>
          <w:szCs w:val="24"/>
        </w:rPr>
        <w:instrText>ADDIN CSL_CITATION {"citationItems":[{"id":"ITEM-1","itemData":{"DOI":"10.1111/fima.12295","ISSN":"0046-3892","abstract":"There have been concerns about the use of alternative data sources by fintech lenders. We compare loans made by LendingClub and similar loans that were originated by banks. The correlations between the rating grades (assigned by LendingClub) and the borrowers’ FICO scores declined from about 80% (for loans originated in 2007) to about 35% for recent vintages (originated in 2014–2015), indicating that nontraditional data (not already accounted for in the FICO scores) have been increasingly used by fintech lenders. The rating grades perform well in predicting loan default. The use of alternative data has allowed some borrowers who would have been classified as subprime by traditional criteria to be slotted into “better” loan grades, allowing them to obtain lower priced credit.","author":[{"dropping-particle":"","family":"Jagtiani","given":"Julapa","non-dropping-particle":"","parse-names":false,"suffix":""},{"dropping-particle":"","family":"Lemieux","given":"Catharine","non-dropping-particle":"","parse-names":false,"suffix":""}],"container-title":"Financial Management","id":"ITEM-1","issue":"4","issued":{"date-parts":[["2019","12","6"]]},"page":"1009-1029","title":"The roles of alternative data and machine learning in fintech lending: Evidence from the LendingClub consumer platform","type":"article-journal","volume":"48"},"uris":["http://www.mendeley.com/documents/?uuid=654ba3f9-25be-4f49-8369-d81edef6f868"]}],"mendeley":{"formattedCitation":"(Jagtiani &amp; Lemieux, 2019)","manualFormatting":"Jagtiani &amp; Lemieux, 2019","plainTextFormattedCitation":"(Jagtiani &amp; Lemieux, 2019)","previouslyFormattedCitation":"(Jagtiani &amp; Lemieux, 2019)"},"properties":{"noteIndex":0},"schema":"https://github.com/citation-style-language/schema/raw/master/csl-citation.json"}</w:instrText>
      </w:r>
      <w:r w:rsidR="00434AB0">
        <w:rPr>
          <w:rFonts w:cs="Times New Roman"/>
          <w:szCs w:val="24"/>
        </w:rPr>
        <w:fldChar w:fldCharType="separate"/>
      </w:r>
      <w:r w:rsidR="00434AB0" w:rsidRPr="00434AB0">
        <w:rPr>
          <w:rFonts w:cs="Times New Roman"/>
          <w:noProof/>
          <w:szCs w:val="24"/>
        </w:rPr>
        <w:t>Jagtiani &amp; Lemieux, 2019</w:t>
      </w:r>
      <w:r w:rsidR="00434AB0">
        <w:rPr>
          <w:rFonts w:cs="Times New Roman"/>
          <w:szCs w:val="24"/>
        </w:rPr>
        <w:fldChar w:fldCharType="end"/>
      </w:r>
      <w:r w:rsidR="002A1BC9">
        <w:rPr>
          <w:rFonts w:cs="Times New Roman"/>
          <w:szCs w:val="24"/>
        </w:rPr>
        <w:t xml:space="preserve">; </w:t>
      </w:r>
      <w:r w:rsidRPr="00611403">
        <w:rPr>
          <w:rFonts w:cs="Times New Roman"/>
          <w:szCs w:val="24"/>
        </w:rPr>
        <w:t>). However, the Indonesian QRIS literature remains dominated by local case studies, user-perception surveys, and descriptive policy reporting. These works are useful but often do not connect QRIS adoption with national MSME financing, capability indicators, and regional digital access in a single empirical narrative</w:t>
      </w:r>
      <w:r w:rsidR="00A643C5">
        <w:rPr>
          <w:rFonts w:cs="Times New Roman"/>
          <w:szCs w:val="24"/>
        </w:rPr>
        <w:t>.</w:t>
      </w:r>
    </w:p>
    <w:p w14:paraId="78C738DE" w14:textId="77777777" w:rsidR="00744CFB" w:rsidRDefault="00715989" w:rsidP="008910E8">
      <w:pPr>
        <w:spacing w:after="0"/>
        <w:ind w:left="360"/>
        <w:jc w:val="both"/>
        <w:rPr>
          <w:rFonts w:cs="Times New Roman"/>
          <w:szCs w:val="24"/>
        </w:rPr>
      </w:pPr>
      <w:r w:rsidRPr="00611403">
        <w:rPr>
          <w:rFonts w:cs="Times New Roman"/>
          <w:szCs w:val="24"/>
        </w:rPr>
        <w:t>A second gap concerns the interpretation of inclusion. Policy reports commonly emphasize the number of users, accounts, or merchants. This is understandable because access metrics are measurable and politically visible. Yet effective inclusion requires informed, repeated, safe, and productive use. An MSME that has QRIS but cannot reconcile settlement records, separate personal and business funds, compare loan products, or protect its digital account is formally included but economically underprepared. This study addresses that gap by combining access indicators with capability, financing, and connectivity evidence.</w:t>
      </w:r>
    </w:p>
    <w:p w14:paraId="0DDD8B2C" w14:textId="77777777" w:rsidR="00FD588A" w:rsidRPr="00611403" w:rsidRDefault="00FD588A" w:rsidP="008910E8">
      <w:pPr>
        <w:spacing w:after="0"/>
        <w:jc w:val="both"/>
        <w:rPr>
          <w:rFonts w:cs="Times New Roman"/>
          <w:szCs w:val="24"/>
        </w:rPr>
      </w:pPr>
    </w:p>
    <w:p w14:paraId="0730C777" w14:textId="77777777" w:rsidR="00744CFB" w:rsidRPr="008910E8" w:rsidRDefault="00715989" w:rsidP="008910E8">
      <w:pPr>
        <w:pStyle w:val="Heading2"/>
        <w:spacing w:before="0" w:after="0"/>
      </w:pPr>
      <w:r w:rsidRPr="008910E8">
        <w:t>1.2 Research Questions and Objectives</w:t>
      </w:r>
    </w:p>
    <w:p w14:paraId="7560E7B6" w14:textId="691F90A8" w:rsidR="00744CFB" w:rsidRPr="00611403" w:rsidRDefault="00715989" w:rsidP="008910E8">
      <w:pPr>
        <w:spacing w:after="0"/>
        <w:ind w:left="360"/>
        <w:jc w:val="both"/>
        <w:rPr>
          <w:rFonts w:cs="Times New Roman"/>
          <w:szCs w:val="24"/>
        </w:rPr>
      </w:pPr>
      <w:r w:rsidRPr="00611403">
        <w:rPr>
          <w:rFonts w:cs="Times New Roman"/>
          <w:szCs w:val="24"/>
        </w:rPr>
        <w:t>The study answers four questions. First, how did QRIS merchants, financial literacy, financial inclusion, MSME credit, and MSME counts evolve in Indonesia from 2020 to 202</w:t>
      </w:r>
      <w:r w:rsidR="00705895">
        <w:rPr>
          <w:rFonts w:cs="Times New Roman"/>
          <w:szCs w:val="24"/>
        </w:rPr>
        <w:t>5</w:t>
      </w:r>
      <w:r w:rsidRPr="00611403">
        <w:rPr>
          <w:rFonts w:cs="Times New Roman"/>
          <w:szCs w:val="24"/>
        </w:rPr>
        <w:t>? Second, how strong is the association between QRIS merchant expansion and selected MSME-related financial indicators? Third, how concentrated is QRIS merchant distribution across provinces in 2024? Fourth, how does provincial QRIS merchant distribution relate to provincial internet access, and what does this relationship imply for capability-based inclusion policy?</w:t>
      </w:r>
    </w:p>
    <w:p w14:paraId="21A615E6" w14:textId="77777777" w:rsidR="00744CFB" w:rsidRDefault="00715989" w:rsidP="008910E8">
      <w:pPr>
        <w:spacing w:after="0"/>
        <w:ind w:left="360"/>
        <w:jc w:val="both"/>
        <w:rPr>
          <w:rFonts w:cs="Times New Roman"/>
          <w:szCs w:val="24"/>
        </w:rPr>
      </w:pPr>
      <w:r w:rsidRPr="00611403">
        <w:rPr>
          <w:rFonts w:cs="Times New Roman"/>
          <w:szCs w:val="24"/>
        </w:rPr>
        <w:t xml:space="preserve">The objectives are to document digital financial inclusion trends, calculate growth rates and correlations, evaluate regional concentration, construct a provincial digital-readiness typology, and translate the findings into operational policy </w:t>
      </w:r>
      <w:r w:rsidRPr="00611403">
        <w:rPr>
          <w:rFonts w:cs="Times New Roman"/>
          <w:szCs w:val="24"/>
        </w:rPr>
        <w:lastRenderedPageBreak/>
        <w:t>recommendations for regulators, financial institutions, payment service providers, and MSME development agencies.</w:t>
      </w:r>
    </w:p>
    <w:p w14:paraId="7BA2D7DE" w14:textId="77777777" w:rsidR="00FD588A" w:rsidRPr="00611403" w:rsidRDefault="00FD588A" w:rsidP="008910E8">
      <w:pPr>
        <w:pStyle w:val="Heading2"/>
        <w:spacing w:before="0" w:after="0"/>
      </w:pPr>
    </w:p>
    <w:p w14:paraId="31404C25" w14:textId="77777777" w:rsidR="00744CFB" w:rsidRPr="00611403" w:rsidRDefault="00715989" w:rsidP="008910E8">
      <w:pPr>
        <w:pStyle w:val="Heading2"/>
        <w:spacing w:before="0" w:after="0"/>
      </w:pPr>
      <w:r w:rsidRPr="00611403">
        <w:t>1.3 Contribution of the Study</w:t>
      </w:r>
    </w:p>
    <w:p w14:paraId="0AB601E2" w14:textId="77777777" w:rsidR="00744CFB" w:rsidRDefault="00715989" w:rsidP="008910E8">
      <w:pPr>
        <w:spacing w:after="0"/>
        <w:ind w:left="360"/>
        <w:jc w:val="both"/>
        <w:rPr>
          <w:rFonts w:cs="Times New Roman"/>
          <w:szCs w:val="24"/>
        </w:rPr>
      </w:pPr>
      <w:r w:rsidRPr="00611403">
        <w:rPr>
          <w:rFonts w:cs="Times New Roman"/>
          <w:szCs w:val="24"/>
        </w:rPr>
        <w:t>This paper contributes in four ways. First, it focuses on QRIS as a specific Indonesian digital payment infrastructure, rather than treating digital finance as a broad category. Second, it applies an access-capability gap framework to distinguish registration, use, readiness, and scalability. Third, it strengthens national trend analysis with provincial evidence on QRIS distribution and internet access. Fourth, it converts empirical patterns into policy instruments: QRIS-based credit readiness, consent-based transaction-data portability, applied financial literacy, merchant protection, and geographically targeted intervention.</w:t>
      </w:r>
    </w:p>
    <w:p w14:paraId="0372F7CC" w14:textId="77777777" w:rsidR="00FD588A" w:rsidRPr="00611403" w:rsidRDefault="00FD588A" w:rsidP="008910E8">
      <w:pPr>
        <w:spacing w:after="0"/>
        <w:jc w:val="both"/>
        <w:rPr>
          <w:rFonts w:cs="Times New Roman"/>
          <w:szCs w:val="24"/>
        </w:rPr>
      </w:pPr>
    </w:p>
    <w:p w14:paraId="6C990587" w14:textId="77777777" w:rsidR="00744CFB" w:rsidRPr="008910E8" w:rsidRDefault="00715989" w:rsidP="008910E8">
      <w:pPr>
        <w:pStyle w:val="Heading1"/>
        <w:spacing w:before="0" w:after="0"/>
      </w:pPr>
      <w:r w:rsidRPr="008910E8">
        <w:t>2. Literature Review</w:t>
      </w:r>
    </w:p>
    <w:p w14:paraId="457603A1" w14:textId="77777777" w:rsidR="00744CFB" w:rsidRPr="00611403" w:rsidRDefault="00715989" w:rsidP="008910E8">
      <w:pPr>
        <w:pStyle w:val="Heading2"/>
        <w:spacing w:before="0" w:after="0"/>
      </w:pPr>
      <w:r w:rsidRPr="00611403">
        <w:t>2.1 Digital Financial Inclusion and QR-Based Payments</w:t>
      </w:r>
    </w:p>
    <w:p w14:paraId="5B760D6E" w14:textId="1F1FF87A" w:rsidR="00744CFB" w:rsidRPr="00611403" w:rsidRDefault="00715989" w:rsidP="008910E8">
      <w:pPr>
        <w:spacing w:after="0"/>
        <w:ind w:left="360"/>
        <w:jc w:val="both"/>
        <w:rPr>
          <w:rFonts w:cs="Times New Roman"/>
          <w:szCs w:val="24"/>
        </w:rPr>
      </w:pPr>
      <w:r w:rsidRPr="00611403">
        <w:rPr>
          <w:rFonts w:cs="Times New Roman"/>
          <w:szCs w:val="24"/>
        </w:rPr>
        <w:t xml:space="preserve">Digital financial inclusion refers to effective access to and use of formal financial services through digital channels by individuals and firms that were previously underserved. This concept is broader than account ownership because it requires usability, affordability, safety, and repeated use </w:t>
      </w:r>
      <w:r w:rsidR="00D11565">
        <w:rPr>
          <w:rFonts w:cs="Times New Roman"/>
          <w:szCs w:val="24"/>
        </w:rPr>
        <w:fldChar w:fldCharType="begin" w:fldLock="1"/>
      </w:r>
      <w:r w:rsidR="00555D66">
        <w:rPr>
          <w:rFonts w:cs="Times New Roman"/>
          <w:szCs w:val="24"/>
        </w:rPr>
        <w:instrText>ADDIN CSL_CITATION {"citationItems":[{"id":"ITEM-1","itemData":{"DOI":"10.1016/j.jfi.2015.12.003","ISSN":"10429573","author":[{"dropping-particle":"","family":"Allen","given":"Franklin","non-dropping-particle":"","parse-names":false,"suffix":""},{"dropping-particle":"","family":"Demirguc-Kunt","given":"Asli","non-dropping-particle":"","parse-names":false,"suffix":""},{"dropping-particle":"","family":"Klapper","given":"Leora","non-dropping-particle":"","parse-names":false,"suffix":""},{"dropping-particle":"","family":"Martinez Peria","given":"Maria Soledad","non-dropping-particle":"","parse-names":false,"suffix":""}],"container-title":"Journal of Financial Intermediation","id":"ITEM-1","issued":{"date-parts":[["2016","7"]]},"page":"1-30","title":"The foundations of financial inclusion: Understanding ownership and use of formal accounts","type":"article-journal","volume":"27"},"uris":["http://www.mendeley.com/documents/?uuid=774b09c4-a5e0-412c-82d6-9265ffc3c372"]}],"mendeley":{"formattedCitation":"(Allen et al., 2016)","manualFormatting":"(Allen et al., 2016","plainTextFormattedCitation":"(Allen et al., 2016)","previouslyFormattedCitation":"(Allen et al., 2016)"},"properties":{"noteIndex":0},"schema":"https://github.com/citation-style-language/schema/raw/master/csl-citation.json"}</w:instrText>
      </w:r>
      <w:r w:rsidR="00D11565">
        <w:rPr>
          <w:rFonts w:cs="Times New Roman"/>
          <w:szCs w:val="24"/>
        </w:rPr>
        <w:fldChar w:fldCharType="separate"/>
      </w:r>
      <w:r w:rsidR="00D11565" w:rsidRPr="00D11565">
        <w:rPr>
          <w:rFonts w:cs="Times New Roman"/>
          <w:noProof/>
          <w:szCs w:val="24"/>
        </w:rPr>
        <w:t>(Allen et al., 2016</w:t>
      </w:r>
      <w:r w:rsidR="00D11565">
        <w:rPr>
          <w:rFonts w:cs="Times New Roman"/>
          <w:szCs w:val="24"/>
        </w:rPr>
        <w:fldChar w:fldCharType="end"/>
      </w:r>
      <w:r w:rsidRPr="00611403">
        <w:rPr>
          <w:rFonts w:cs="Times New Roman"/>
          <w:szCs w:val="24"/>
        </w:rPr>
        <w:t xml:space="preserve">; </w:t>
      </w:r>
      <w:r w:rsidR="00D11565">
        <w:rPr>
          <w:rFonts w:cs="Times New Roman"/>
          <w:szCs w:val="24"/>
        </w:rPr>
        <w:fldChar w:fldCharType="begin" w:fldLock="1"/>
      </w:r>
      <w:r w:rsidR="00723F81">
        <w:rPr>
          <w:rFonts w:cs="Times New Roman" w:hint="eastAsia"/>
          <w:szCs w:val="24"/>
        </w:rPr>
        <w:instrText>ADDIN CSL_CITATION {"citationItems":[{"id":"ITEM-1","itemData":{"DOI":"10.1111/j.1540-6261.2005.00727.x","ISSN":"0022-1082","abstract":"Using a unique firm</w:instrText>
      </w:r>
      <w:r w:rsidR="00723F81">
        <w:rPr>
          <w:rFonts w:cs="Times New Roman" w:hint="eastAsia"/>
          <w:szCs w:val="24"/>
        </w:rPr>
        <w:instrText>‐</w:instrText>
      </w:r>
      <w:r w:rsidR="00723F81">
        <w:rPr>
          <w:rFonts w:cs="Times New Roman" w:hint="eastAsia"/>
          <w:szCs w:val="24"/>
        </w:rPr>
        <w:instrText>level survey database covering 54 countries, we investigate the effect of financial, legal, and cor</w:instrText>
      </w:r>
      <w:r w:rsidR="00723F81">
        <w:rPr>
          <w:rFonts w:cs="Times New Roman"/>
          <w:szCs w:val="24"/>
        </w:rPr>
        <w:instrText>ruption problems on firms' growth rates. Whether these factors constrain growth depends on firm size. It is consistently the smallest firms that are most constrained. Financial and institutional development weakens the constraining effects of financial, legal, and corruption obstacles and it is again the small firms that benefit the most. There is only a weak relation between firms' perception of the quality of the courts in their country and firm growth. We also provide evidence that the corruption of ba</w:instrText>
      </w:r>
      <w:r w:rsidR="00723F81">
        <w:rPr>
          <w:rFonts w:cs="Times New Roman" w:hint="eastAsia"/>
          <w:szCs w:val="24"/>
        </w:rPr>
        <w:instrText>nk officials constrains firm growth.","author":[{"dropping-particle":"","family":"Beck","given":"Thorsten","non-dropping-particle":"","parse-names":false,"suffix":""},{"dropping-particle":"","family":"Demirguc</w:instrText>
      </w:r>
      <w:r w:rsidR="00723F81">
        <w:rPr>
          <w:rFonts w:cs="Times New Roman" w:hint="eastAsia"/>
          <w:szCs w:val="24"/>
        </w:rPr>
        <w:instrText>‐</w:instrText>
      </w:r>
      <w:r w:rsidR="00723F81">
        <w:rPr>
          <w:rFonts w:cs="Times New Roman" w:hint="eastAsia"/>
          <w:szCs w:val="24"/>
        </w:rPr>
        <w:instrText>Kunt","given":"Asli","non-dropping-particle":</w:instrText>
      </w:r>
      <w:r w:rsidR="00723F81">
        <w:rPr>
          <w:rFonts w:cs="Times New Roman"/>
          <w:szCs w:val="24"/>
        </w:rPr>
        <w:instrText>"","parse-names":false,"suffix":""},{"dropping-particle":"","family":"Maksimovic","given":"Vojislav","non-dropping-particle":"","parse-names":false,"suffix":""}],"container-title":"The Journal of Finance","id":"ITEM-1","issue":"1","issued":{"date-parts":[["2005","2","20"]]},"page":"137-177","title":"Financial and Legal Constraints to Growth: Does Firm Size Matter?","type":"article-journal","volume":"60"},"uris":["http://www.mendeley.com/documents/?uuid=fe04e40d-41da-4ceb-b0da-4046198b21f4"]}],"mendeley":{"formattedCitation":"(Beck et al., 2005)","manualFormatting":"BECK et al., 2005","plainTextFormattedCitation":"(Beck et al., 2005)","previouslyFormattedCitation":"(Beck et al., 2005)"},"properties":{"noteIndex":0},"schema":"https://github.com/citation-style-language/schema/raw/master/csl-citation.json"}</w:instrText>
      </w:r>
      <w:r w:rsidR="00D11565">
        <w:rPr>
          <w:rFonts w:cs="Times New Roman"/>
          <w:szCs w:val="24"/>
        </w:rPr>
        <w:fldChar w:fldCharType="separate"/>
      </w:r>
      <w:r w:rsidR="00D11565" w:rsidRPr="00D11565">
        <w:rPr>
          <w:rFonts w:cs="Times New Roman"/>
          <w:noProof/>
          <w:szCs w:val="24"/>
        </w:rPr>
        <w:t>BECK et al., 2005</w:t>
      </w:r>
      <w:r w:rsidR="00D11565">
        <w:rPr>
          <w:rFonts w:cs="Times New Roman"/>
          <w:szCs w:val="24"/>
        </w:rPr>
        <w:fldChar w:fldCharType="end"/>
      </w:r>
      <w:r w:rsidRPr="00611403">
        <w:rPr>
          <w:rFonts w:cs="Times New Roman"/>
          <w:szCs w:val="24"/>
        </w:rPr>
        <w:t xml:space="preserve">; </w:t>
      </w:r>
      <w:r w:rsidR="00FB5410">
        <w:rPr>
          <w:rFonts w:cs="Times New Roman"/>
          <w:szCs w:val="24"/>
        </w:rPr>
        <w:fldChar w:fldCharType="begin" w:fldLock="1"/>
      </w:r>
      <w:r w:rsidR="00555D66">
        <w:rPr>
          <w:rFonts w:cs="Times New Roman"/>
          <w:szCs w:val="24"/>
        </w:rPr>
        <w:instrText>ADDIN CSL_CITATION {"citationItems":[{"id":"ITEM-1","itemData":{"DOI":"10.1596/1813-9450-6025","author":[{"dropping-particle":"","family":"Demirguc-Kunt","given":"Asli","non-dropping-particle":"","parse-names":false,"suffix":""},{"dropping-particle":"","family":"Klapper","given":"Leora","non-dropping-particle":"","parse-names":false,"suffix":""}],"id":"ITEM-1","issued":{"date-parts":[["2012","4"]]},"publisher":"World Bank, Washington, DC","title":"Measuring Financial Inclusion: The Global Findex Database","type":"book"},"uris":["http://www.mendeley.com/documents/?uuid=ef3d9dd9-7503-4578-83fe-a5c71e52e718"]}],"mendeley":{"formattedCitation":"(Demirguc-Kunt &amp; Klapper, 2012)","manualFormatting":"Demirguc-Kunt &amp; Klapper, 2012)","plainTextFormattedCitation":"(Demirguc-Kunt &amp; Klapper, 2012)","previouslyFormattedCitation":"(Demirguc-Kunt &amp; Klapper, 2012)"},"properties":{"noteIndex":0},"schema":"https://github.com/citation-style-language/schema/raw/master/csl-citation.json"}</w:instrText>
      </w:r>
      <w:r w:rsidR="00FB5410">
        <w:rPr>
          <w:rFonts w:cs="Times New Roman"/>
          <w:szCs w:val="24"/>
        </w:rPr>
        <w:fldChar w:fldCharType="separate"/>
      </w:r>
      <w:r w:rsidR="00FB5410" w:rsidRPr="00FB5410">
        <w:rPr>
          <w:rFonts w:cs="Times New Roman"/>
          <w:noProof/>
          <w:szCs w:val="24"/>
        </w:rPr>
        <w:t>Demirguc-Kunt &amp; Klapper, 2012)</w:t>
      </w:r>
      <w:r w:rsidR="00FB5410">
        <w:rPr>
          <w:rFonts w:cs="Times New Roman"/>
          <w:szCs w:val="24"/>
        </w:rPr>
        <w:fldChar w:fldCharType="end"/>
      </w:r>
      <w:r w:rsidRPr="00611403">
        <w:rPr>
          <w:rFonts w:cs="Times New Roman"/>
          <w:szCs w:val="24"/>
        </w:rPr>
        <w:t xml:space="preserve">. Digital channels can reduce distance costs, expand service availability, and lower some transaction frictions </w:t>
      </w:r>
      <w:r w:rsidR="00FB5410">
        <w:rPr>
          <w:rFonts w:cs="Times New Roman"/>
          <w:szCs w:val="24"/>
        </w:rPr>
        <w:fldChar w:fldCharType="begin" w:fldLock="1"/>
      </w:r>
      <w:r w:rsidR="00555D66">
        <w:rPr>
          <w:rFonts w:cs="Times New Roman"/>
          <w:szCs w:val="24"/>
        </w:rPr>
        <w:instrText>ADDIN CSL_CITATION {"citationItems":[{"id":"ITEM-1","itemData":{"DOI":"10.1007/s40804-020-00183-y","ISSN":"1566-7529","author":[{"dropping-particle":"","family":"Arner","given":"Douglas W.","non-dropping-particle":"","parse-names":false,"suffix":""},{"dropping-particle":"","family":"Buckley","given":"Ross P.","non-dropping-particle":"","parse-names":false,"suffix":""},{"dropping-particle":"","family":"Zetzsche","given":"Dirk A.","non-dropping-particle":"","parse-names":false,"suffix":""},{"dropping-particle":"","family":"Veidt","given":"Robin","non-dropping-particle":"","parse-names":false,"suffix":""}],"container-title":"European Business Organization Law Review","id":"ITEM-1","issue":"1","issued":{"date-parts":[["2020","3","23"]]},"page":"7-35","title":"Sustainability, FinTech and Financial Inclusion","type":"article-journal","volume":"21"},"uris":["http://www.mendeley.com/documents/?uuid=dd60d8de-3528-4927-bc9e-b63620521932"]}],"mendeley":{"formattedCitation":"(Arner et al., 2020)","manualFormatting":"(Arner et al., 2020","plainTextFormattedCitation":"(Arner et al., 2020)","previouslyFormattedCitation":"(Arner et al., 2020)"},"properties":{"noteIndex":0},"schema":"https://github.com/citation-style-language/schema/raw/master/csl-citation.json"}</w:instrText>
      </w:r>
      <w:r w:rsidR="00FB5410">
        <w:rPr>
          <w:rFonts w:cs="Times New Roman"/>
          <w:szCs w:val="24"/>
        </w:rPr>
        <w:fldChar w:fldCharType="separate"/>
      </w:r>
      <w:r w:rsidR="00FB5410" w:rsidRPr="00FB5410">
        <w:rPr>
          <w:rFonts w:cs="Times New Roman"/>
          <w:noProof/>
          <w:szCs w:val="24"/>
        </w:rPr>
        <w:t>(Arner et al., 2020</w:t>
      </w:r>
      <w:r w:rsidR="00FB5410">
        <w:rPr>
          <w:rFonts w:cs="Times New Roman"/>
          <w:szCs w:val="24"/>
        </w:rPr>
        <w:fldChar w:fldCharType="end"/>
      </w:r>
      <w:r w:rsidRPr="00611403">
        <w:rPr>
          <w:rFonts w:cs="Times New Roman"/>
          <w:szCs w:val="24"/>
        </w:rPr>
        <w:t xml:space="preserve">; </w:t>
      </w:r>
      <w:r w:rsidR="00FB5410">
        <w:rPr>
          <w:rFonts w:cs="Times New Roman"/>
          <w:szCs w:val="24"/>
        </w:rPr>
        <w:fldChar w:fldCharType="begin" w:fldLock="1"/>
      </w:r>
      <w:r w:rsidR="00555D66">
        <w:rPr>
          <w:rFonts w:cs="Times New Roman"/>
          <w:szCs w:val="24"/>
        </w:rPr>
        <w:instrText>ADDIN CSL_CITATION {"citationItems":[{"id":"ITEM-1","itemData":{"DOI":"10.1080/07421222.2018.1440766","ISSN":"0742-1222","author":[{"dropping-particle":"","family":"Gomber","given":"Peter","non-dropping-particle":"","parse-names":false,"suffix":""},{"dropping-particle":"","family":"Kauffman","given":"Robert J.","non-dropping-particle":"","parse-names":false,"suffix":""},{"dropping-particle":"","family":"Parker","given":"Chris","non-dropping-particle":"","parse-names":false,"suffix":""},{"dropping-particle":"","family":"Weber","given":"Bruce W.","non-dropping-particle":"","parse-names":false,"suffix":""}],"container-title":"Journal of Management Information Systems","id":"ITEM-1","issue":"1","issued":{"date-parts":[["2018","1","2"]]},"page":"220-265","title":"On the Fintech Revolution: Interpreting the Forces of Innovation, Disruption, and Transformation in Financial Services","type":"article-journal","volume":"35"},"uris":["http://www.mendeley.com/documents/?uuid=875e8bfe-c46c-4bcb-87bd-49ae6f9effd5"]}],"mendeley":{"formattedCitation":"(Gomber et al., 2018)","manualFormatting":"Gomber et al., 2018)","plainTextFormattedCitation":"(Gomber et al., 2018)","previouslyFormattedCitation":"(Gomber et al., 2018)"},"properties":{"noteIndex":0},"schema":"https://github.com/citation-style-language/schema/raw/master/csl-citation.json"}</w:instrText>
      </w:r>
      <w:r w:rsidR="00FB5410">
        <w:rPr>
          <w:rFonts w:cs="Times New Roman"/>
          <w:szCs w:val="24"/>
        </w:rPr>
        <w:fldChar w:fldCharType="separate"/>
      </w:r>
      <w:r w:rsidR="00FB5410" w:rsidRPr="00FB5410">
        <w:rPr>
          <w:rFonts w:cs="Times New Roman"/>
          <w:noProof/>
          <w:szCs w:val="24"/>
        </w:rPr>
        <w:t>Gomber et al., 2018)</w:t>
      </w:r>
      <w:r w:rsidR="00FB5410">
        <w:rPr>
          <w:rFonts w:cs="Times New Roman"/>
          <w:szCs w:val="24"/>
        </w:rPr>
        <w:fldChar w:fldCharType="end"/>
      </w:r>
      <w:r w:rsidRPr="00611403">
        <w:rPr>
          <w:rFonts w:cs="Times New Roman"/>
          <w:szCs w:val="24"/>
        </w:rPr>
        <w:t>. For small merchants, digital payments can also create records that cash transactions do not generate. These records may support financial planning and credit assessment if they are reliable, portable, and connected to formal financial products.</w:t>
      </w:r>
    </w:p>
    <w:p w14:paraId="5AEE1BE9" w14:textId="2915D5F6" w:rsidR="00744CFB" w:rsidRPr="00611403" w:rsidRDefault="00715989" w:rsidP="000F7951">
      <w:pPr>
        <w:spacing w:after="0"/>
        <w:ind w:left="360"/>
        <w:jc w:val="both"/>
        <w:rPr>
          <w:rFonts w:cs="Times New Roman"/>
          <w:szCs w:val="24"/>
        </w:rPr>
      </w:pPr>
      <w:r w:rsidRPr="00611403">
        <w:rPr>
          <w:rFonts w:cs="Times New Roman"/>
          <w:szCs w:val="24"/>
        </w:rPr>
        <w:t xml:space="preserve">QR-based payment systems are especially relevant for micro and small merchants because they require less hardware than card-based systems. A merchant can accept payment through a static or dynamic code, while consumers can pay through banks or non-bank payment applications. QRIS adds interoperability: one standard code can be accepted across participating providers. This design reduces fragmentation and supports network effects in retail payments, which is consistent with broader evidence that digital payments can reduce transaction costs and create new inclusion channels </w:t>
      </w:r>
      <w:r w:rsidR="005372F2">
        <w:rPr>
          <w:rFonts w:cs="Times New Roman"/>
          <w:szCs w:val="24"/>
        </w:rPr>
        <w:fldChar w:fldCharType="begin" w:fldLock="1"/>
      </w:r>
      <w:r w:rsidR="007C2CAC">
        <w:rPr>
          <w:rFonts w:cs="Times New Roman"/>
          <w:szCs w:val="24"/>
        </w:rPr>
        <w:instrText>ADDIN CSL_CITATION {"citationItems":[{"id":"ITEM-1","itemData":{"author":[{"dropping-particle":"","family":"BI","given":"","non-dropping-particle":"","parse-names":false,"suffix":""}],"id":"ITEM-1","issued":{"date-parts":[["2024"]]},"title":"Data perkembangan jumlah merchant Quick Response Code Indonesian Standard (QRIS) di Indonesia periode 2020-2024","type":"article-journal"},"uris":["http://www.mendeley.com/documents/?uuid=5df0135d-c31f-448d-a2c9-08c7caa8606c"]}],"mendeley":{"formattedCitation":"(BI, 2024)","manualFormatting":"(BI, 2024","plainTextFormattedCitation":"(BI, 2024)","previouslyFormattedCitation":"(BI, 2024)"},"properties":{"noteIndex":0},"schema":"https://github.com/citation-style-language/schema/raw/master/csl-citation.json"}</w:instrText>
      </w:r>
      <w:r w:rsidR="005372F2">
        <w:rPr>
          <w:rFonts w:cs="Times New Roman"/>
          <w:szCs w:val="24"/>
        </w:rPr>
        <w:fldChar w:fldCharType="separate"/>
      </w:r>
      <w:r w:rsidR="005372F2" w:rsidRPr="005372F2">
        <w:rPr>
          <w:rFonts w:cs="Times New Roman"/>
          <w:noProof/>
          <w:szCs w:val="24"/>
        </w:rPr>
        <w:t>(BI, 2024</w:t>
      </w:r>
      <w:r w:rsidR="005372F2">
        <w:rPr>
          <w:rFonts w:cs="Times New Roman"/>
          <w:szCs w:val="24"/>
        </w:rPr>
        <w:fldChar w:fldCharType="end"/>
      </w:r>
      <w:r w:rsidR="00763746">
        <w:rPr>
          <w:rFonts w:cs="Times New Roman"/>
          <w:szCs w:val="24"/>
        </w:rPr>
        <w:fldChar w:fldCharType="begin" w:fldLock="1"/>
      </w:r>
      <w:r w:rsidR="005372F2">
        <w:rPr>
          <w:rFonts w:cs="Times New Roman" w:hint="eastAsia"/>
          <w:szCs w:val="24"/>
        </w:rPr>
        <w:instrText>ADDIN CSL_CITATION {"citationItems":[{"id":"ITEM-1","itemData":{"DOI":"10.1111/j.1540-6261.2005.00727.x","ISSN":"0022-1082","abstract":"Using a unique firm</w:instrText>
      </w:r>
      <w:r w:rsidR="005372F2">
        <w:rPr>
          <w:rFonts w:cs="Times New Roman" w:hint="eastAsia"/>
          <w:szCs w:val="24"/>
        </w:rPr>
        <w:instrText>‐</w:instrText>
      </w:r>
      <w:r w:rsidR="005372F2">
        <w:rPr>
          <w:rFonts w:cs="Times New Roman" w:hint="eastAsia"/>
          <w:szCs w:val="24"/>
        </w:rPr>
        <w:instrText>level survey database covering 54 countries, we investigate the effect of financial, legal, and cor</w:instrText>
      </w:r>
      <w:r w:rsidR="005372F2">
        <w:rPr>
          <w:rFonts w:cs="Times New Roman"/>
          <w:szCs w:val="24"/>
        </w:rPr>
        <w:instrText>ruption problems on firms' growth rates. Whether these factors constrain growth depends on firm size. It is consistently the smallest firms that are most constrained. Financial and institutional development weakens the constraining effects of financial, legal, and corruption obstacles and it is again the small firms that benefit the most. There is only a weak relation between firms' perception of the quality of the courts in their country and firm growth. We also provide evidence that the corruption of ba</w:instrText>
      </w:r>
      <w:r w:rsidR="005372F2">
        <w:rPr>
          <w:rFonts w:cs="Times New Roman" w:hint="eastAsia"/>
          <w:szCs w:val="24"/>
        </w:rPr>
        <w:instrText>nk officials constrains firm growth.","author":[{"dropping-particle":"","family":"Beck","given":"Thorsten","non-dropping-particle":"","parse-names":false,"suffix":""},{"dropping-particle":"","family":"Demirguc</w:instrText>
      </w:r>
      <w:r w:rsidR="005372F2">
        <w:rPr>
          <w:rFonts w:cs="Times New Roman" w:hint="eastAsia"/>
          <w:szCs w:val="24"/>
        </w:rPr>
        <w:instrText>‐</w:instrText>
      </w:r>
      <w:r w:rsidR="005372F2">
        <w:rPr>
          <w:rFonts w:cs="Times New Roman" w:hint="eastAsia"/>
          <w:szCs w:val="24"/>
        </w:rPr>
        <w:instrText>Kunt","given":"Asli","non-dropping-particle":</w:instrText>
      </w:r>
      <w:r w:rsidR="005372F2">
        <w:rPr>
          <w:rFonts w:cs="Times New Roman"/>
          <w:szCs w:val="24"/>
        </w:rPr>
        <w:instrText>"","parse-names":false,"suffix":""},{"dropping-particle":"","family":"Maksimovic","given":"Vojislav","non-dropping-particle":"","parse-names":false,"suffix":""}],"container-title":"The Journal of Finance","id":"ITEM-1","issue":"1","issued":{"date-parts":[["2005","2","20"]]},"page":"137-177","title":"Financial and Legal Constraints to Growth: Does Firm Size Matter?","type":"article-journal","volume":"60"},"uris":["http://www.mendeley.com/documents/?uuid=fe04e40d-41da-4ceb-b0da-4046198b21f4"]}],"mendeley":{"formattedCitation":"(Beck et al., 2005)","manualFormatting":"; BECK et al., 2005","plainTextFormattedCitation":"(Beck et al., 2005)","previouslyFormattedCitation":"(Beck et al., 2005)"},"properties":{"noteIndex":0},"schema":"https://github.com/citation-style-language/schema/raw/master/csl-citation.json"}</w:instrText>
      </w:r>
      <w:r w:rsidR="00763746">
        <w:rPr>
          <w:rFonts w:cs="Times New Roman"/>
          <w:szCs w:val="24"/>
        </w:rPr>
        <w:fldChar w:fldCharType="separate"/>
      </w:r>
      <w:r w:rsidR="005372F2">
        <w:rPr>
          <w:rFonts w:cs="Times New Roman"/>
          <w:noProof/>
          <w:szCs w:val="24"/>
        </w:rPr>
        <w:t xml:space="preserve">; </w:t>
      </w:r>
      <w:r w:rsidR="00763746" w:rsidRPr="00763746">
        <w:rPr>
          <w:rFonts w:cs="Times New Roman"/>
          <w:noProof/>
          <w:szCs w:val="24"/>
        </w:rPr>
        <w:t>BECK et al., 2005</w:t>
      </w:r>
      <w:r w:rsidR="00763746">
        <w:rPr>
          <w:rFonts w:cs="Times New Roman"/>
          <w:szCs w:val="24"/>
        </w:rPr>
        <w:fldChar w:fldCharType="end"/>
      </w:r>
      <w:r w:rsidRPr="00611403">
        <w:rPr>
          <w:rFonts w:cs="Times New Roman"/>
          <w:szCs w:val="24"/>
        </w:rPr>
        <w:t xml:space="preserve">; </w:t>
      </w:r>
      <w:r w:rsidR="00763746">
        <w:rPr>
          <w:rFonts w:cs="Times New Roman"/>
          <w:szCs w:val="24"/>
        </w:rPr>
        <w:fldChar w:fldCharType="begin" w:fldLock="1"/>
      </w:r>
      <w:r w:rsidR="004A7CBE">
        <w:rPr>
          <w:rFonts w:cs="Times New Roman"/>
          <w:szCs w:val="24"/>
        </w:rPr>
        <w:instrText>ADDIN CSL_CITATION {"citationItems":[{"id":"ITEM-1","itemData":{"DOI":"10.1257/aer.104.1.183","ISSN":"0002-8282","abstract":"We explore the impact of reduced transaction costs on risk sharing by estimating the effects of a mobile money innovation on consumption. In our panel sample, adoption of the innovation increased from 43 to 70 percent. We find that, while shocks reduce consumption by 7 percent for nonusers, the consumption of user households is unaffected. The mechanisms underlying these consumption effects are increases in remittances received and the diversity of senders. We report robustness checks supporting these results and use the four-fold expansion of the mobile money agent network as a source of exogenous variation in access to the innovation. (JEL E42, G22, O16, O17, Z13)","author":[{"dropping-particle":"","family":"Jack","given":"William","non-dropping-particle":"","parse-names":false,"suffix":""},{"dropping-particle":"","family":"Suri","given":"Tavneet","non-dropping-particle":"","parse-names":false,"suffix":""}],"container-title":"American Economic Review","id":"ITEM-1","issue":"1","issued":{"date-parts":[["2014","1","1"]]},"page":"183-223","title":"Risk Sharing and Transactions Costs: Evidence from Kenya's Mobile Money Revolution","type":"article-journal","volume":"104"},"uris":["http://www.mendeley.com/documents/?uuid=7d5f962e-91d1-4260-84f3-72e871f4bcad"]}],"mendeley":{"formattedCitation":"(Jack &amp; Suri, 2014)","manualFormatting":"Jack &amp; Suri, 2014","plainTextFormattedCitation":"(Jack &amp; Suri, 2014)","previouslyFormattedCitation":"(Jack &amp; Suri, 2014)"},"properties":{"noteIndex":0},"schema":"https://github.com/citation-style-language/schema/raw/master/csl-citation.json"}</w:instrText>
      </w:r>
      <w:r w:rsidR="00763746">
        <w:rPr>
          <w:rFonts w:cs="Times New Roman"/>
          <w:szCs w:val="24"/>
        </w:rPr>
        <w:fldChar w:fldCharType="separate"/>
      </w:r>
      <w:r w:rsidR="00763746" w:rsidRPr="00763746">
        <w:rPr>
          <w:rFonts w:cs="Times New Roman"/>
          <w:noProof/>
          <w:szCs w:val="24"/>
        </w:rPr>
        <w:t>Jack &amp; Suri, 2014</w:t>
      </w:r>
      <w:r w:rsidR="00763746">
        <w:rPr>
          <w:rFonts w:cs="Times New Roman"/>
          <w:szCs w:val="24"/>
        </w:rPr>
        <w:fldChar w:fldCharType="end"/>
      </w:r>
      <w:r w:rsidR="004A7CBE">
        <w:rPr>
          <w:rFonts w:cs="Times New Roman"/>
          <w:szCs w:val="24"/>
        </w:rPr>
        <w:t xml:space="preserve">; </w:t>
      </w:r>
      <w:r w:rsidR="00763746">
        <w:rPr>
          <w:rFonts w:cs="Times New Roman"/>
          <w:szCs w:val="24"/>
        </w:rPr>
        <w:fldChar w:fldCharType="begin" w:fldLock="1"/>
      </w:r>
      <w:r w:rsidR="004A7CBE">
        <w:rPr>
          <w:rFonts w:cs="Times New Roman"/>
          <w:szCs w:val="24"/>
        </w:rPr>
        <w:instrText>ADDIN CSL_CITATION {"citationItems":[{"id":"ITEM-1","itemData":{"DOI":"10.1146/annurev-economics-063016-103638","ISSN":"1941-1383","abstract":"This review provides an overview of the operations and impacts of mobile money in the developing world. Over the past decade, mobile money has become a ubiquitous tool in some developing economies, allowing individuals to digitally transact money without formal bank accounts. The impacts, where documented, have been sizeable: For example, poverty decreased by two percentage points in Kenya. However, adoption still lags in many economies and, even where there is universal adoption, product innovation over the rails of these digital accounts has been slow. The review concludes by discussing what the future of mobile money in developing economies may look like and, thus, where the most exciting opportunities for research may be.","author":[{"dropping-particle":"","family":"Suri","given":"Tavneet","non-dropping-particle":"","parse-names":false,"suffix":""}],"container-title":"Annual Review of Economics","id":"ITEM-1","issue":"1","issued":{"date-parts":[["2017","8","2"]]},"page":"497-520","title":"Mobile Money","type":"article-journal","volume":"9"},"uris":["http://www.mendeley.com/documents/?uuid=4c19feb7-fb82-4649-98c5-e3981ff14632"]}],"mendeley":{"formattedCitation":"(Suri, 2017)","manualFormatting":"Suri, 2017","plainTextFormattedCitation":"(Suri, 2017)","previouslyFormattedCitation":"(Suri, 2017)"},"properties":{"noteIndex":0},"schema":"https://github.com/citation-style-language/schema/raw/master/csl-citation.json"}</w:instrText>
      </w:r>
      <w:r w:rsidR="00763746">
        <w:rPr>
          <w:rFonts w:cs="Times New Roman"/>
          <w:szCs w:val="24"/>
        </w:rPr>
        <w:fldChar w:fldCharType="separate"/>
      </w:r>
      <w:r w:rsidR="004A7CBE" w:rsidRPr="004A7CBE">
        <w:rPr>
          <w:rFonts w:cs="Times New Roman"/>
          <w:noProof/>
          <w:szCs w:val="24"/>
        </w:rPr>
        <w:t>Suri, 2017</w:t>
      </w:r>
      <w:r w:rsidR="00763746">
        <w:rPr>
          <w:rFonts w:cs="Times New Roman"/>
          <w:szCs w:val="24"/>
        </w:rPr>
        <w:fldChar w:fldCharType="end"/>
      </w:r>
      <w:r w:rsidRPr="00611403">
        <w:rPr>
          <w:rFonts w:cs="Times New Roman"/>
          <w:szCs w:val="24"/>
        </w:rPr>
        <w:t xml:space="preserve">; </w:t>
      </w:r>
      <w:r w:rsidR="00763746">
        <w:rPr>
          <w:rFonts w:cs="Times New Roman"/>
          <w:szCs w:val="24"/>
        </w:rPr>
        <w:fldChar w:fldCharType="begin" w:fldLock="1"/>
      </w:r>
      <w:r w:rsidR="004A7CBE">
        <w:rPr>
          <w:rFonts w:cs="Times New Roman"/>
          <w:szCs w:val="24"/>
        </w:rPr>
        <w:instrText>ADDIN CSL_CITATION {"citationItems":[{"id":"ITEM-1","itemData":{"DOI":"10.1126/science.aah5309","ISSN":"0036-8075","abstract":"In developing countries, bank branches and fixed-line telecommunications are scarce, whereas mobile phones are plentiful. These factors have led to the use of mobile money, whereby money can be deposited to an account linked to a phone, transferred to other users, and converted back into cash. Suri and Jack show that increased access to mobile money has increased long-term consumption in Kenya and reduced the number of households in extreme poverty.","author":[{"dropping-particle":"","family":"Suri","given":"Tavneet","non-dropping-particle":"","parse-names":false,"suffix":""},{"dropping-particle":"","family":"Jack","given":"William","non-dropping-particle":"","parse-names":false,"suffix":""}],"container-title":"Science","id":"ITEM-1","issue":"6317","issued":{"date-parts":[["2016","12","9"]]},"page":"1288-1292","title":"The long-run poverty and gender impacts of mobile money","type":"article-journal","volume":"354"},"uris":["http://www.mendeley.com/documents/?uuid=c8c979dc-94ae-473c-b57c-179c673de0a0"]}],"mendeley":{"formattedCitation":"(Suri &amp; Jack, 2016)","manualFormatting":"Suri &amp; Jack, 2016)","plainTextFormattedCitation":"(Suri &amp; Jack, 2016)","previouslyFormattedCitation":"(Suri &amp; Jack, 2016)"},"properties":{"noteIndex":0},"schema":"https://github.com/citation-style-language/schema/raw/master/csl-citation.json"}</w:instrText>
      </w:r>
      <w:r w:rsidR="00763746">
        <w:rPr>
          <w:rFonts w:cs="Times New Roman"/>
          <w:szCs w:val="24"/>
        </w:rPr>
        <w:fldChar w:fldCharType="separate"/>
      </w:r>
      <w:r w:rsidR="00763746" w:rsidRPr="00763746">
        <w:rPr>
          <w:rFonts w:cs="Times New Roman"/>
          <w:noProof/>
          <w:szCs w:val="24"/>
        </w:rPr>
        <w:t>Suri &amp; Jack, 2016)</w:t>
      </w:r>
      <w:r w:rsidR="00763746">
        <w:rPr>
          <w:rFonts w:cs="Times New Roman"/>
          <w:szCs w:val="24"/>
        </w:rPr>
        <w:fldChar w:fldCharType="end"/>
      </w:r>
      <w:r w:rsidRPr="00611403">
        <w:rPr>
          <w:rFonts w:cs="Times New Roman"/>
          <w:szCs w:val="24"/>
        </w:rPr>
        <w:t>.</w:t>
      </w:r>
    </w:p>
    <w:p w14:paraId="7BB1A982" w14:textId="77777777" w:rsidR="00744CFB" w:rsidRDefault="00715989" w:rsidP="008910E8">
      <w:pPr>
        <w:spacing w:after="0"/>
        <w:ind w:left="360"/>
        <w:jc w:val="both"/>
        <w:rPr>
          <w:rFonts w:cs="Times New Roman"/>
          <w:szCs w:val="24"/>
        </w:rPr>
      </w:pPr>
      <w:r w:rsidRPr="00611403">
        <w:rPr>
          <w:rFonts w:cs="Times New Roman"/>
          <w:szCs w:val="24"/>
        </w:rPr>
        <w:lastRenderedPageBreak/>
        <w:t>However, digital financial inclusion should not be measured only by the number of registered merchants or users. Effective inclusion requires repeated use, informed choices, safety, and economic usefulness. Digital access can also create risks if users do not understand fees, settlement timing, fraud, complaint channels, and data use. For MSMEs, the key question is not only whether merchants can receive QRIS payments, but whether they can use QRIS to manage liquidity, build credible records, access finance, and grow.</w:t>
      </w:r>
    </w:p>
    <w:p w14:paraId="28858117" w14:textId="77777777" w:rsidR="00744CFB" w:rsidRPr="00611403" w:rsidRDefault="00715989" w:rsidP="008910E8">
      <w:pPr>
        <w:pStyle w:val="Heading2"/>
        <w:spacing w:before="0" w:after="0"/>
      </w:pPr>
      <w:r w:rsidRPr="00611403">
        <w:t>2.2 MSME Scalability and Access to Finance</w:t>
      </w:r>
    </w:p>
    <w:p w14:paraId="24B618A3" w14:textId="3FD7C043" w:rsidR="00744CFB" w:rsidRPr="00611403" w:rsidRDefault="00715989" w:rsidP="008910E8">
      <w:pPr>
        <w:spacing w:after="0"/>
        <w:ind w:left="360"/>
        <w:jc w:val="both"/>
        <w:rPr>
          <w:rFonts w:cs="Times New Roman"/>
          <w:szCs w:val="24"/>
        </w:rPr>
      </w:pPr>
      <w:r w:rsidRPr="00611403">
        <w:rPr>
          <w:rFonts w:cs="Times New Roman"/>
          <w:szCs w:val="24"/>
        </w:rPr>
        <w:t xml:space="preserve">MSME scalability is the ability of a firm to expand sales, operations, market reach, and productivity without raising costs at the same pace. Scalability requires working capital, investment finance, managerial capability, stable demand, digital tools, and reliable operating processes. Finance is central because firms need liquidity to purchase inventory, upgrade equipment, hire workers, manage seasonal shocks, and expand into new markets. Empirical studies show that smaller and younger firms are often central to job creation but remain constrained by financing frictions </w:t>
      </w:r>
      <w:r w:rsidR="00810C2F">
        <w:rPr>
          <w:rFonts w:cs="Times New Roman"/>
          <w:szCs w:val="24"/>
        </w:rPr>
        <w:fldChar w:fldCharType="begin" w:fldLock="1"/>
      </w:r>
      <w:r w:rsidR="009E3D06">
        <w:rPr>
          <w:rFonts w:cs="Times New Roman"/>
          <w:szCs w:val="24"/>
        </w:rPr>
        <w:instrText>ADDIN CSL_CITATION {"citationItems":[{"id":"ITEM-1","itemData":{"DOI":"10.1007/s11187-014-9549-5","ISSN":"0921-898X","author":[{"dropping-particle":"","family":"Ayyagari","given":"Meghana","non-dropping-particle":"","parse-names":false,"suffix":""},{"dropping-particle":"","family":"Demirguc-Kunt","given":"Asli","non-dropping-particle":"","parse-names":false,"suffix":""},{"dropping-particle":"","family":"Maksimovic","given":"Vojislav","non-dropping-particle":"","parse-names":false,"suffix":""}],"container-title":"Small Business Economics","id":"ITEM-1","issue":"1","issued":{"date-parts":[["2014","6","27"]]},"page":"75-99","title":"Who creates jobs in developing countries?","type":"article-journal","volume":"43"},"uris":["http://www.mendeley.com/documents/?uuid=cec47b96-7670-4e88-b4e3-32a951cda19c"]}],"mendeley":{"formattedCitation":"(Ayyagari et al., 2014)","manualFormatting":"(Ayyagari et al., 2014","plainTextFormattedCitation":"(Ayyagari et al., 2014)","previouslyFormattedCitation":"(Ayyagari et al., 2014)"},"properties":{"noteIndex":0},"schema":"https://github.com/citation-style-language/schema/raw/master/csl-citation.json"}</w:instrText>
      </w:r>
      <w:r w:rsidR="00810C2F">
        <w:rPr>
          <w:rFonts w:cs="Times New Roman"/>
          <w:szCs w:val="24"/>
        </w:rPr>
        <w:fldChar w:fldCharType="separate"/>
      </w:r>
      <w:r w:rsidR="00810C2F" w:rsidRPr="00810C2F">
        <w:rPr>
          <w:rFonts w:cs="Times New Roman"/>
          <w:noProof/>
          <w:szCs w:val="24"/>
        </w:rPr>
        <w:t>(Ayyagari et al., 2014</w:t>
      </w:r>
      <w:r w:rsidR="00810C2F">
        <w:rPr>
          <w:rFonts w:cs="Times New Roman"/>
          <w:szCs w:val="24"/>
        </w:rPr>
        <w:fldChar w:fldCharType="end"/>
      </w:r>
      <w:r w:rsidRPr="00611403">
        <w:rPr>
          <w:rFonts w:cs="Times New Roman"/>
          <w:szCs w:val="24"/>
        </w:rPr>
        <w:t xml:space="preserve">; </w:t>
      </w:r>
      <w:r w:rsidR="00810C2F">
        <w:rPr>
          <w:rFonts w:cs="Times New Roman"/>
          <w:szCs w:val="24"/>
        </w:rPr>
        <w:fldChar w:fldCharType="begin" w:fldLock="1"/>
      </w:r>
      <w:r w:rsidR="009E3D06">
        <w:rPr>
          <w:rFonts w:cs="Times New Roman"/>
          <w:szCs w:val="24"/>
        </w:rPr>
        <w:instrText>ADDIN CSL_CITATION {"citationItems":[{"id":"ITEM-1","itemData":{"DOI":"10.1016/j.jfineco.2005.09.006","ISSN":"0304405X","author":[{"dropping-particle":"","family":"Klapper","given":"Leora","non-dropping-particle":"","parse-names":false,"suffix":""},{"dropping-particle":"","family":"Laeven","given":"Luc","non-dropping-particle":"","parse-names":false,"suffix":""},{"dropping-particle":"","family":"Rajan","given":"Raghuram","non-dropping-particle":"","parse-names":false,"suffix":""}],"container-title":"Journal of Financial Economics","id":"ITEM-1","issue":"3","issued":{"date-parts":[["2006","12"]]},"page":"591-629","title":"Entry regulation as a barrier to entrepreneurship","type":"article-journal","volume":"82"},"uris":["http://www.mendeley.com/documents/?uuid=d8f46922-4f65-4cfd-8212-e3a74fc28f1d"]}],"mendeley":{"formattedCitation":"(Klapper et al., 2006)","manualFormatting":"Klapper et al., 2006)","plainTextFormattedCitation":"(Klapper et al., 2006)","previouslyFormattedCitation":"(Klapper et al., 2006)"},"properties":{"noteIndex":0},"schema":"https://github.com/citation-style-language/schema/raw/master/csl-citation.json"}</w:instrText>
      </w:r>
      <w:r w:rsidR="00810C2F">
        <w:rPr>
          <w:rFonts w:cs="Times New Roman"/>
          <w:szCs w:val="24"/>
        </w:rPr>
        <w:fldChar w:fldCharType="separate"/>
      </w:r>
      <w:r w:rsidR="00810C2F" w:rsidRPr="00810C2F">
        <w:rPr>
          <w:rFonts w:cs="Times New Roman"/>
          <w:noProof/>
          <w:szCs w:val="24"/>
        </w:rPr>
        <w:t>Klapper et al., 2006)</w:t>
      </w:r>
      <w:r w:rsidR="00810C2F">
        <w:rPr>
          <w:rFonts w:cs="Times New Roman"/>
          <w:szCs w:val="24"/>
        </w:rPr>
        <w:fldChar w:fldCharType="end"/>
      </w:r>
      <w:r w:rsidRPr="00611403">
        <w:rPr>
          <w:rFonts w:cs="Times New Roman"/>
          <w:szCs w:val="24"/>
        </w:rPr>
        <w:t>.</w:t>
      </w:r>
    </w:p>
    <w:p w14:paraId="78DBF16A" w14:textId="77777777" w:rsidR="00744CFB" w:rsidRDefault="00715989" w:rsidP="00334E2F">
      <w:pPr>
        <w:spacing w:after="0"/>
        <w:ind w:left="360"/>
        <w:jc w:val="both"/>
        <w:rPr>
          <w:rFonts w:cs="Times New Roman"/>
          <w:szCs w:val="24"/>
        </w:rPr>
      </w:pPr>
      <w:r w:rsidRPr="00611403">
        <w:rPr>
          <w:rFonts w:cs="Times New Roman"/>
          <w:szCs w:val="24"/>
        </w:rPr>
        <w:t>Classical MSME finance theory highlights information asymmetry. Lenders often know less than borrowers about the true condition of the business. When financial statements, tax records, collateral, and transaction histories are weak, lenders may charge higher rates, require collateral, or ration credit. Digital payment data can reduce information gaps if it captures transaction volume, regularity, customer base, and cash-flow patterns. Still, data alone is not enough. It must be standardized, verified, consent-based, and combined with prudent credit governance and borrower capability.</w:t>
      </w:r>
    </w:p>
    <w:p w14:paraId="513FDCC4" w14:textId="77777777" w:rsidR="00744CFB" w:rsidRPr="00611403" w:rsidRDefault="00715989" w:rsidP="00334E2F">
      <w:pPr>
        <w:pStyle w:val="Heading2"/>
        <w:spacing w:before="0" w:after="0"/>
      </w:pPr>
      <w:r w:rsidRPr="00611403">
        <w:t>2.3 Financial Literacy, Digital Capability, and the Access-Capability Gap</w:t>
      </w:r>
    </w:p>
    <w:p w14:paraId="1A0521F9" w14:textId="0E5279C4" w:rsidR="00744CFB" w:rsidRPr="00611403" w:rsidRDefault="00715989" w:rsidP="00334E2F">
      <w:pPr>
        <w:spacing w:after="0"/>
        <w:ind w:left="360"/>
        <w:jc w:val="both"/>
        <w:rPr>
          <w:rFonts w:cs="Times New Roman"/>
          <w:szCs w:val="24"/>
        </w:rPr>
      </w:pPr>
      <w:r w:rsidRPr="00611403">
        <w:rPr>
          <w:rFonts w:cs="Times New Roman"/>
          <w:szCs w:val="24"/>
        </w:rPr>
        <w:t xml:space="preserve">Financial literacy is knowledge and understanding that support informed financial decisions. Financial capability is broader because it includes behavior, confidence, planning, and the practical ability to apply knowledge in real situations. Financial literacy is strongly associated with better financial decision-making and can support broader inclusion when paired with usable products and consumer protection </w:t>
      </w:r>
      <w:r w:rsidR="00810C2F">
        <w:rPr>
          <w:rFonts w:cs="Times New Roman"/>
          <w:szCs w:val="24"/>
        </w:rPr>
        <w:fldChar w:fldCharType="begin" w:fldLock="1"/>
      </w:r>
      <w:r w:rsidR="0005309B">
        <w:rPr>
          <w:rFonts w:cs="Times New Roman"/>
          <w:szCs w:val="24"/>
        </w:rPr>
        <w:instrText>ADDIN CSL_CITATION {"citationItems":[{"id":"ITEM-1","itemData":{"DOI":"10.1016/j.worlddev.2018.06.020","ISSN":"0305750X","author":[{"dropping-particle":"","family":"Grohmann","given":"Antonia","non-dropping-particle":"","parse-names":false,"suffix":""},{"dropping-particle":"","family":"Klühs","given":"Theres","non-dropping-particle":"","parse-names":false,"suffix":""},{"dropping-particle":"","family":"Menkhoff","given":"Lukas","non-dropping-particle":"","parse-names":false,"suffix":""}],"container-title":"World Development","id":"ITEM-1","issued":{"date-parts":[["2018","11"]]},"page":"84-96","title":"Does financial literacy improve financial inclusion? Cross country evidence","type":"article-journal","volume":"111"},"uris":["http://www.mendeley.com/documents/?uuid=6a6bd24f-7fce-4721-a972-876a955b1c40"]}],"mendeley":{"formattedCitation":"(Grohmann et al., 2018)","manualFormatting":"(Grohmann et al., 2018","plainTextFormattedCitation":"(Grohmann et al., 2018)","previouslyFormattedCitation":"(Grohmann et al., 2018)"},"properties":{"noteIndex":0},"schema":"https://github.com/citation-style-language/schema/raw/master/csl-citation.json"}</w:instrText>
      </w:r>
      <w:r w:rsidR="00810C2F">
        <w:rPr>
          <w:rFonts w:cs="Times New Roman"/>
          <w:szCs w:val="24"/>
        </w:rPr>
        <w:fldChar w:fldCharType="separate"/>
      </w:r>
      <w:r w:rsidR="00810C2F" w:rsidRPr="00810C2F">
        <w:rPr>
          <w:rFonts w:cs="Times New Roman"/>
          <w:noProof/>
          <w:szCs w:val="24"/>
        </w:rPr>
        <w:t>(Grohmann et al., 2018</w:t>
      </w:r>
      <w:r w:rsidR="00810C2F">
        <w:rPr>
          <w:rFonts w:cs="Times New Roman"/>
          <w:szCs w:val="24"/>
        </w:rPr>
        <w:fldChar w:fldCharType="end"/>
      </w:r>
      <w:r w:rsidRPr="00611403">
        <w:rPr>
          <w:rFonts w:cs="Times New Roman"/>
          <w:szCs w:val="24"/>
        </w:rPr>
        <w:t xml:space="preserve">; </w:t>
      </w:r>
      <w:r w:rsidR="00810C2F">
        <w:rPr>
          <w:rFonts w:cs="Times New Roman"/>
          <w:szCs w:val="24"/>
        </w:rPr>
        <w:fldChar w:fldCharType="begin" w:fldLock="1"/>
      </w:r>
      <w:r w:rsidR="0005309B">
        <w:rPr>
          <w:rFonts w:cs="Times New Roman"/>
          <w:szCs w:val="24"/>
        </w:rPr>
        <w:instrText>ADDIN CSL_CITATION {"citationItems":[{"id":"ITEM-1","itemData":{"DOI":"10.1257/jel.52.1.5","ISSN":"0022-0515","abstract":"This paper undertakes an assessment of a rapidly growing body of economic research on financial literacy. We start with an overview of theoretical research, which casts financial knowledge as a form of investment in human capital. Endogenizing financial knowledge has important implications for welfare, as well as policies intended to enhance levels of financial knowledge in the larger population. Next, we draw on recent surveys to establish how much (or how little) people know and identify the least financially savvy population subgroups. This is followed by an examination of the impact of financial literacy on economic decision making in the United States and elsewhere. While the literature is still young, conclusions may be drawn about the effects and consequences of financial illiteracy and what works to remedy these gaps. A final section offers thoughts on what remains to be learned if researchers are to better inform theoretical and empirical models as well as public policy. (JEL A20, D14, G11, I20, J26)","author":[{"dropping-particle":"","family":"Lusardi","given":"Annamaria","non-dropping-particle":"","parse-names":false,"suffix":""},{"dropping-particle":"","family":"Mitchell","given":"Olivia S.","non-dropping-particle":"","parse-names":false,"suffix":""}],"container-title":"Journal of Economic Literature","id":"ITEM-1","issue":"1","issued":{"date-parts":[["2014","3","1"]]},"page":"5-44","title":"The Economic Importance of Financial Literacy: Theory and Evidence","type":"article-journal","volume":"52"},"uris":["http://www.mendeley.com/documents/?uuid=0c30b263-6454-4ece-af73-a388472743d2"]}],"mendeley":{"formattedCitation":"(Lusardi &amp; Mitchell, 2014)","manualFormatting":"Lusardi &amp; Mitchell, 2014","plainTextFormattedCitation":"(Lusardi &amp; Mitchell, 2014)","previouslyFormattedCitation":"(Lusardi &amp; Mitchell, 2014)"},"properties":{"noteIndex":0},"schema":"https://github.com/citation-style-language/schema/raw/master/csl-citation.json"}</w:instrText>
      </w:r>
      <w:r w:rsidR="00810C2F">
        <w:rPr>
          <w:rFonts w:cs="Times New Roman"/>
          <w:szCs w:val="24"/>
        </w:rPr>
        <w:fldChar w:fldCharType="separate"/>
      </w:r>
      <w:r w:rsidR="00810C2F" w:rsidRPr="00810C2F">
        <w:rPr>
          <w:rFonts w:cs="Times New Roman"/>
          <w:noProof/>
          <w:szCs w:val="24"/>
        </w:rPr>
        <w:t>Lusardi &amp; Mitchell, 2014</w:t>
      </w:r>
      <w:r w:rsidR="00810C2F">
        <w:rPr>
          <w:rFonts w:cs="Times New Roman"/>
          <w:szCs w:val="24"/>
        </w:rPr>
        <w:fldChar w:fldCharType="end"/>
      </w:r>
      <w:r w:rsidRPr="00611403">
        <w:rPr>
          <w:rFonts w:cs="Times New Roman"/>
          <w:szCs w:val="24"/>
        </w:rPr>
        <w:t xml:space="preserve">; </w:t>
      </w:r>
      <w:r w:rsidR="00810C2F">
        <w:rPr>
          <w:rFonts w:cs="Times New Roman"/>
          <w:szCs w:val="24"/>
        </w:rPr>
        <w:fldChar w:fldCharType="begin" w:fldLock="1"/>
      </w:r>
      <w:r w:rsidR="0005309B">
        <w:rPr>
          <w:rFonts w:cs="Times New Roman"/>
          <w:szCs w:val="24"/>
        </w:rPr>
        <w:instrText>ADDIN CSL_CITATION {"citationItems":[{"id":"ITEM-1","itemData":{"DOI":"10.1016/j.asieco.2020.101197","ISSN":"10490078","author":[{"dropping-particle":"","family":"Morgan","given":"Peter J.","non-dropping-particle":"","parse-names":false,"suffix":""},{"dropping-particle":"","family":"Long","given":"Trinh Quang","non-dropping-particle":"","parse-names":false,"suffix":""}],"container-title":"Journal of Asian Economics","id":"ITEM-1","issued":{"date-parts":[["2020","6"]]},"page":"101197","title":"Financial literacy, financial inclusion, and savings behavior in Laos","type":"article-journal","volume":"68"},"uris":["http://www.mendeley.com/documents/?uuid=f702d402-16cf-4758-bc1f-255f890b79cb"]}],"mendeley":{"formattedCitation":"(Morgan &amp; Long, 2020)","manualFormatting":"Morgan &amp; Long, 2020","plainTextFormattedCitation":"(Morgan &amp; Long, 2020)","previouslyFormattedCitation":"(Morgan &amp; Long, 2020)"},"properties":{"noteIndex":0},"schema":"https://github.com/citation-style-language/schema/raw/master/csl-citation.json"}</w:instrText>
      </w:r>
      <w:r w:rsidR="00810C2F">
        <w:rPr>
          <w:rFonts w:cs="Times New Roman"/>
          <w:szCs w:val="24"/>
        </w:rPr>
        <w:fldChar w:fldCharType="separate"/>
      </w:r>
      <w:r w:rsidR="00810C2F" w:rsidRPr="00810C2F">
        <w:rPr>
          <w:rFonts w:cs="Times New Roman"/>
          <w:noProof/>
          <w:szCs w:val="24"/>
        </w:rPr>
        <w:t>Morgan &amp; Long, 2020</w:t>
      </w:r>
      <w:r w:rsidR="00810C2F">
        <w:rPr>
          <w:rFonts w:cs="Times New Roman"/>
          <w:szCs w:val="24"/>
        </w:rPr>
        <w:fldChar w:fldCharType="end"/>
      </w:r>
      <w:r w:rsidRPr="00611403">
        <w:rPr>
          <w:rFonts w:cs="Times New Roman"/>
          <w:szCs w:val="24"/>
        </w:rPr>
        <w:t xml:space="preserve">; </w:t>
      </w:r>
      <w:r w:rsidR="00810C2F">
        <w:rPr>
          <w:rFonts w:cs="Times New Roman"/>
          <w:szCs w:val="24"/>
        </w:rPr>
        <w:fldChar w:fldCharType="begin" w:fldLock="1"/>
      </w:r>
      <w:r w:rsidR="0005309B">
        <w:rPr>
          <w:rFonts w:cs="Times New Roman"/>
          <w:szCs w:val="24"/>
        </w:rPr>
        <w:instrText>ADDIN CSL_CITATION {"citationItems":[{"id":"ITEM-1","itemData":{"DOI":"10.1016/j.jfineco.2011.03.006","ISSN":"0304405X","author":[{"dropping-particle":"","family":"Rooij","given":"Maarten","non-dropping-particle":"van","parse-names":false,"suffix":""},{"dropping-particle":"","family":"Lusardi","given":"Annamaria","non-dropping-particle":"","parse-names":false,"suffix":""},{"dropping-particle":"","family":"Alessie","given":"Rob","non-dropping-particle":"","parse-names":false,"suffix":""}],"container-title":"Journal of Financial Economics","id":"ITEM-1","issue":"2","issued":{"date-parts":[["2011","8"]]},"page":"449-472","title":"Financial literacy and stock market participation","type":"article-journal","volume":"101"},"uris":["http://www.mendeley.com/documents/?uuid=4e7a8ea0-2df2-4dfe-b102-cb3ef67d7bd8"]}],"mendeley":{"formattedCitation":"(van Rooij et al., 2011)","manualFormatting":"van Rooij et al., 2011)","plainTextFormattedCitation":"(van Rooij et al., 2011)","previouslyFormattedCitation":"(van Rooij et al., 2011)"},"properties":{"noteIndex":0},"schema":"https://github.com/citation-style-language/schema/raw/master/csl-citation.json"}</w:instrText>
      </w:r>
      <w:r w:rsidR="00810C2F">
        <w:rPr>
          <w:rFonts w:cs="Times New Roman"/>
          <w:szCs w:val="24"/>
        </w:rPr>
        <w:fldChar w:fldCharType="separate"/>
      </w:r>
      <w:r w:rsidR="00810C2F" w:rsidRPr="00810C2F">
        <w:rPr>
          <w:rFonts w:cs="Times New Roman"/>
          <w:noProof/>
          <w:szCs w:val="24"/>
        </w:rPr>
        <w:t>van Rooij et al., 2011)</w:t>
      </w:r>
      <w:r w:rsidR="00810C2F">
        <w:rPr>
          <w:rFonts w:cs="Times New Roman"/>
          <w:szCs w:val="24"/>
        </w:rPr>
        <w:fldChar w:fldCharType="end"/>
      </w:r>
      <w:r w:rsidRPr="00611403">
        <w:rPr>
          <w:rFonts w:cs="Times New Roman"/>
          <w:szCs w:val="24"/>
        </w:rPr>
        <w:t xml:space="preserve">. MSMEs need both. A merchant may know how to show a QRIS code </w:t>
      </w:r>
      <w:r w:rsidRPr="00611403">
        <w:rPr>
          <w:rFonts w:cs="Times New Roman"/>
          <w:szCs w:val="24"/>
        </w:rPr>
        <w:lastRenderedPageBreak/>
        <w:t>but still be unable to separate household and business money, compare credit costs, maintain daily records, or forecast cash flow.</w:t>
      </w:r>
    </w:p>
    <w:p w14:paraId="51F50DF8" w14:textId="77777777" w:rsidR="00744CFB" w:rsidRDefault="00715989" w:rsidP="00334E2F">
      <w:pPr>
        <w:spacing w:after="0"/>
        <w:ind w:left="360"/>
        <w:jc w:val="both"/>
        <w:rPr>
          <w:rFonts w:cs="Times New Roman"/>
          <w:szCs w:val="24"/>
        </w:rPr>
      </w:pPr>
      <w:r w:rsidRPr="00611403">
        <w:rPr>
          <w:rFonts w:cs="Times New Roman"/>
          <w:szCs w:val="24"/>
        </w:rPr>
        <w:t>The access-capability gap emerges when infrastructure grows faster than user readiness. In this study, QRIS merchant numbers represent digital payment access. Financial literacy represents capability. MSME credit represents formal financing access. Financial inclusion represents wider access and use of formal financial services. Provincial internet access represents digital connectivity, a prerequisite for effective use of digital financial tools. MSME counts are used carefully because administrative datasets and classification methods can change over time.</w:t>
      </w:r>
    </w:p>
    <w:p w14:paraId="620FB480" w14:textId="77777777" w:rsidR="00744CFB" w:rsidRPr="00611403" w:rsidRDefault="00715989" w:rsidP="00334E2F">
      <w:pPr>
        <w:pStyle w:val="Heading2"/>
        <w:spacing w:before="0" w:after="0"/>
      </w:pPr>
      <w:r w:rsidRPr="00611403">
        <w:t>2.4 Policy Context in Indonesia</w:t>
      </w:r>
    </w:p>
    <w:p w14:paraId="0F8C7B8E" w14:textId="59FA5157" w:rsidR="00744CFB" w:rsidRPr="00611403" w:rsidRDefault="00715989" w:rsidP="00334E2F">
      <w:pPr>
        <w:spacing w:after="0"/>
        <w:ind w:left="360"/>
        <w:jc w:val="both"/>
        <w:rPr>
          <w:rFonts w:cs="Times New Roman"/>
          <w:szCs w:val="24"/>
        </w:rPr>
      </w:pPr>
      <w:r w:rsidRPr="00611403">
        <w:rPr>
          <w:rFonts w:cs="Times New Roman"/>
          <w:szCs w:val="24"/>
        </w:rPr>
        <w:t>Indonesia's policy environment supports digital financial inclusion through payment system reform, financial literacy strategies, MSME financing programs, consumer protection, and digital infrastructure development</w:t>
      </w:r>
      <w:r w:rsidR="002427D2">
        <w:rPr>
          <w:rFonts w:cs="Times New Roman"/>
          <w:szCs w:val="24"/>
        </w:rPr>
        <w:t xml:space="preserve"> </w:t>
      </w:r>
      <w:r w:rsidR="002427D2">
        <w:rPr>
          <w:rFonts w:cs="Times New Roman"/>
          <w:szCs w:val="24"/>
        </w:rPr>
        <w:fldChar w:fldCharType="begin" w:fldLock="1"/>
      </w:r>
      <w:r w:rsidR="002427D2">
        <w:rPr>
          <w:rFonts w:cs="Times New Roman"/>
          <w:szCs w:val="24"/>
        </w:rPr>
        <w:instrText>ADDIN CSL_CITATION {"citationItems":[{"id":"ITEM-1","itemData":{"URL":"https://www.bi.go.id/id/fungsi-utama/sistem-pembayaran/blueprint-2025/Default.aspx","author":[{"dropping-particle":"","family":"BI","given":"","non-dropping-particle":"","parse-names":false,"suffix":""}],"id":"ITEM-1","issued":{"date-parts":[["2019"]]},"title":"Blueprint Sistem Pembayaran Indonesia 2025: Menavigasi sistem pembayaran nasional di era digital [Indonesia Payment System Blueprint 2025: Navigating the national payment system in the digital era]","type":"webpage"},"uris":["http://www.mendeley.com/documents/?uuid=0fa25482-804c-4ba2-a2e1-486864387ae5"]}],"mendeley":{"formattedCitation":"(BI, 2019)","manualFormatting":"(BI, 2019","plainTextFormattedCitation":"(BI, 2019)","previouslyFormattedCitation":"(BI, 2019)"},"properties":{"noteIndex":0},"schema":"https://github.com/citation-style-language/schema/raw/master/csl-citation.json"}</w:instrText>
      </w:r>
      <w:r w:rsidR="002427D2">
        <w:rPr>
          <w:rFonts w:cs="Times New Roman"/>
          <w:szCs w:val="24"/>
        </w:rPr>
        <w:fldChar w:fldCharType="separate"/>
      </w:r>
      <w:r w:rsidR="002427D2" w:rsidRPr="002427D2">
        <w:rPr>
          <w:rFonts w:cs="Times New Roman"/>
          <w:noProof/>
          <w:szCs w:val="24"/>
        </w:rPr>
        <w:t>(BI, 2019</w:t>
      </w:r>
      <w:r w:rsidR="002427D2">
        <w:rPr>
          <w:rFonts w:cs="Times New Roman"/>
          <w:szCs w:val="24"/>
        </w:rPr>
        <w:fldChar w:fldCharType="end"/>
      </w:r>
      <w:r w:rsidR="002427D2">
        <w:rPr>
          <w:rFonts w:cs="Times New Roman"/>
          <w:szCs w:val="24"/>
        </w:rPr>
        <w:t xml:space="preserve">; </w:t>
      </w:r>
      <w:r w:rsidR="002427D2">
        <w:rPr>
          <w:rFonts w:cs="Times New Roman"/>
          <w:szCs w:val="24"/>
        </w:rPr>
        <w:fldChar w:fldCharType="begin" w:fldLock="1"/>
      </w:r>
      <w:r w:rsidR="002427D2">
        <w:rPr>
          <w:rFonts w:cs="Times New Roman"/>
          <w:szCs w:val="24"/>
        </w:rPr>
        <w:instrText>ADDIN CSL_CITATION {"citationItems":[{"id":"ITEM-1","itemData":{"URL":"https://ekon.go.id/","author":[{"dropping-particle":"","family":"Perekonomian","given":"Kementerian Koordinator Bidang","non-dropping-particle":"","parse-names":false,"suffix":""}],"id":"ITEM-1","issued":{"date-parts":[["2021"]]},"title":"Strategi Nasional Ekonomi Digital Indonesia 2030 [National Strategy for Indonesian Digital Economy 2030]","type":"webpage"},"uris":["http://www.mendeley.com/documents/?uuid=80918351-82e4-4413-bb76-89ed1e96bbdc"]}],"mendeley":{"formattedCitation":"(Perekonomian, 2021)","manualFormatting":"Perekonomian, 2021","plainTextFormattedCitation":"(Perekonomian, 2021)","previouslyFormattedCitation":"(Perekonomian, 2021)"},"properties":{"noteIndex":0},"schema":"https://github.com/citation-style-language/schema/raw/master/csl-citation.json"}</w:instrText>
      </w:r>
      <w:r w:rsidR="002427D2">
        <w:rPr>
          <w:rFonts w:cs="Times New Roman"/>
          <w:szCs w:val="24"/>
        </w:rPr>
        <w:fldChar w:fldCharType="separate"/>
      </w:r>
      <w:r w:rsidR="002427D2" w:rsidRPr="002427D2">
        <w:rPr>
          <w:rFonts w:cs="Times New Roman"/>
          <w:noProof/>
          <w:szCs w:val="24"/>
        </w:rPr>
        <w:t>Perekonomian, 2021</w:t>
      </w:r>
      <w:r w:rsidR="002427D2">
        <w:rPr>
          <w:rFonts w:cs="Times New Roman"/>
          <w:szCs w:val="24"/>
        </w:rPr>
        <w:fldChar w:fldCharType="end"/>
      </w:r>
      <w:r w:rsidR="002427D2">
        <w:rPr>
          <w:rFonts w:cs="Times New Roman"/>
          <w:szCs w:val="24"/>
        </w:rPr>
        <w:t xml:space="preserve">; </w:t>
      </w:r>
      <w:r w:rsidR="002427D2">
        <w:rPr>
          <w:rFonts w:cs="Times New Roman"/>
          <w:szCs w:val="24"/>
        </w:rPr>
        <w:fldChar w:fldCharType="begin" w:fldLock="1"/>
      </w:r>
      <w:r w:rsidR="002427D2">
        <w:rPr>
          <w:rFonts w:cs="Times New Roman"/>
          <w:szCs w:val="24"/>
        </w:rPr>
        <w:instrText>ADDIN CSL_CITATION {"citationItems":[{"id":"ITEM-1","itemData":{"URL":"https://www.kominfo.go.id/","author":[{"dropping-particle":"","family":"Informatika","given":"Kementerian Komunikasi dan","non-dropping-particle":"","parse-names":false,"suffix":""}],"id":"ITEM-1","issued":{"date-parts":[["2021"]]},"title":"Peta Jalan Indonesia Digital 2021-2024 [Indonesia Digital Roadmap 2021-2024]","type":"webpage"},"uris":["http://www.mendeley.com/documents/?uuid=fe9de306-aa94-4bdb-9e0f-4841eb381ba1"]}],"mendeley":{"formattedCitation":"(Informatika, 2021)","manualFormatting":"Informatika, 2021","plainTextFormattedCitation":"(Informatika, 2021)","previouslyFormattedCitation":"(Informatika, 2021)"},"properties":{"noteIndex":0},"schema":"https://github.com/citation-style-language/schema/raw/master/csl-citation.json"}</w:instrText>
      </w:r>
      <w:r w:rsidR="002427D2">
        <w:rPr>
          <w:rFonts w:cs="Times New Roman"/>
          <w:szCs w:val="24"/>
        </w:rPr>
        <w:fldChar w:fldCharType="separate"/>
      </w:r>
      <w:r w:rsidR="002427D2" w:rsidRPr="002427D2">
        <w:rPr>
          <w:rFonts w:cs="Times New Roman"/>
          <w:noProof/>
          <w:szCs w:val="24"/>
        </w:rPr>
        <w:t>Informatika, 2021</w:t>
      </w:r>
      <w:r w:rsidR="002427D2">
        <w:rPr>
          <w:rFonts w:cs="Times New Roman"/>
          <w:szCs w:val="24"/>
        </w:rPr>
        <w:fldChar w:fldCharType="end"/>
      </w:r>
      <w:r w:rsidR="002427D2">
        <w:rPr>
          <w:rFonts w:cs="Times New Roman"/>
          <w:szCs w:val="24"/>
        </w:rPr>
        <w:t xml:space="preserve">; </w:t>
      </w:r>
      <w:r w:rsidR="002427D2">
        <w:rPr>
          <w:rFonts w:cs="Times New Roman"/>
          <w:szCs w:val="24"/>
        </w:rPr>
        <w:fldChar w:fldCharType="begin" w:fldLock="1"/>
      </w:r>
      <w:r w:rsidR="006A2BC4">
        <w:rPr>
          <w:rFonts w:cs="Times New Roman"/>
          <w:szCs w:val="24"/>
        </w:rPr>
        <w:instrText>ADDIN CSL_CITATION {"citationItems":[{"id":"ITEM-1","itemData":{"URL":"https://ojk.go.id/id/berita-dan-kegiatan/publikasi/Pages/Survei-Nasional-Literasi-dan-Inklusi-Keuangan-(SNLIK)-2024.aspx","author":[{"dropping-particle":"","family":"OJK","given":"","non-dropping-particle":"","parse-names":false,"suffix":""}],"id":"ITEM-1","issued":{"date-parts":[["2024"]]},"title":"Survei Nasional Literasi dan Inklusi Keuangan (SNLIK) 2024","type":"webpage"},"uris":["http://www.mendeley.com/documents/?uuid=8bfdf58b-a6cf-4496-bd58-070b232e4d25"]}],"mendeley":{"formattedCitation":"(OJK, 2024b)","manualFormatting":"OJK, 2024b)","plainTextFormattedCitation":"(OJK, 2024b)","previouslyFormattedCitation":"(OJK, 2024b)"},"properties":{"noteIndex":0},"schema":"https://github.com/citation-style-language/schema/raw/master/csl-citation.json"}</w:instrText>
      </w:r>
      <w:r w:rsidR="002427D2">
        <w:rPr>
          <w:rFonts w:cs="Times New Roman"/>
          <w:szCs w:val="24"/>
        </w:rPr>
        <w:fldChar w:fldCharType="separate"/>
      </w:r>
      <w:r w:rsidR="002427D2" w:rsidRPr="002427D2">
        <w:rPr>
          <w:rFonts w:cs="Times New Roman"/>
          <w:noProof/>
          <w:szCs w:val="24"/>
        </w:rPr>
        <w:t>OJK, 2024b)</w:t>
      </w:r>
      <w:r w:rsidR="002427D2">
        <w:rPr>
          <w:rFonts w:cs="Times New Roman"/>
          <w:szCs w:val="24"/>
        </w:rPr>
        <w:fldChar w:fldCharType="end"/>
      </w:r>
      <w:r w:rsidRPr="00611403">
        <w:rPr>
          <w:rFonts w:cs="Times New Roman"/>
          <w:szCs w:val="24"/>
        </w:rPr>
        <w:t>. These policies are complementary but not automatically integrated. If payment data remain isolated from financing institutions, QRIS may function mainly as a transaction instrument. If literacy programs remain general, they may not solve the specific business constraints of MSME owners. If regional connectivity and merchant support remain uneven, national QRIS adoption can coexist with provincial gaps.</w:t>
      </w:r>
    </w:p>
    <w:p w14:paraId="1B6C9D07" w14:textId="77777777" w:rsidR="00744CFB" w:rsidRDefault="00715989" w:rsidP="00334E2F">
      <w:pPr>
        <w:spacing w:after="0"/>
        <w:ind w:left="360"/>
        <w:jc w:val="both"/>
        <w:rPr>
          <w:rFonts w:cs="Times New Roman"/>
          <w:szCs w:val="24"/>
        </w:rPr>
      </w:pPr>
      <w:r w:rsidRPr="00611403">
        <w:rPr>
          <w:rFonts w:cs="Times New Roman"/>
          <w:szCs w:val="24"/>
        </w:rPr>
        <w:t>The policy challenge is therefore integrative. Regulators need to connect payment access with safe data-sharing, applied capability building, credit readiness, and consumer protection. The aim is not only to increase the number of QRIS merchants but to increase the number of active, protected, financially capable MSMEs that can use digital transaction records to improve business decisions and financing outcomes.</w:t>
      </w:r>
    </w:p>
    <w:p w14:paraId="30D0CFFD" w14:textId="77777777" w:rsidR="00FD588A" w:rsidRPr="00611403" w:rsidRDefault="00FD588A" w:rsidP="00334E2F">
      <w:pPr>
        <w:spacing w:after="0"/>
        <w:jc w:val="both"/>
        <w:rPr>
          <w:rFonts w:cs="Times New Roman"/>
          <w:szCs w:val="24"/>
        </w:rPr>
      </w:pPr>
    </w:p>
    <w:p w14:paraId="55C7EA76" w14:textId="77777777" w:rsidR="00744CFB" w:rsidRPr="00334E2F" w:rsidRDefault="00715989" w:rsidP="00334E2F">
      <w:pPr>
        <w:pStyle w:val="Heading1"/>
        <w:spacing w:before="0" w:after="0"/>
      </w:pPr>
      <w:r w:rsidRPr="00334E2F">
        <w:t>3. Methodology</w:t>
      </w:r>
    </w:p>
    <w:p w14:paraId="717A8AA1" w14:textId="77777777" w:rsidR="00744CFB" w:rsidRPr="00611403" w:rsidRDefault="00715989" w:rsidP="00334E2F">
      <w:pPr>
        <w:pStyle w:val="Heading2"/>
        <w:spacing w:before="0" w:after="0"/>
      </w:pPr>
      <w:r w:rsidRPr="00611403">
        <w:t>3.1 Research Design</w:t>
      </w:r>
    </w:p>
    <w:p w14:paraId="0525338F" w14:textId="6D508AD1" w:rsidR="00744CFB" w:rsidRPr="00611403" w:rsidRDefault="00715989" w:rsidP="00334E2F">
      <w:pPr>
        <w:spacing w:after="0"/>
        <w:ind w:left="360"/>
        <w:jc w:val="both"/>
        <w:rPr>
          <w:rFonts w:cs="Times New Roman"/>
          <w:szCs w:val="24"/>
        </w:rPr>
      </w:pPr>
      <w:r w:rsidRPr="00611403">
        <w:rPr>
          <w:rFonts w:cs="Times New Roman"/>
          <w:szCs w:val="24"/>
        </w:rPr>
        <w:t>This study uses a quantitative descriptive-correlational design. The purpose is to identify empirical patterns and policy-relevant associations, not to estimate causal effects. The national dataset contains five annual observations from 2020 to 202</w:t>
      </w:r>
      <w:r w:rsidR="00014382">
        <w:rPr>
          <w:rFonts w:cs="Times New Roman"/>
          <w:szCs w:val="24"/>
        </w:rPr>
        <w:t>5</w:t>
      </w:r>
      <w:r w:rsidRPr="00611403">
        <w:rPr>
          <w:rFonts w:cs="Times New Roman"/>
          <w:szCs w:val="24"/>
        </w:rPr>
        <w:t xml:space="preserve">. With such a short series, advanced econometric models would be unstable and </w:t>
      </w:r>
      <w:r w:rsidRPr="00611403">
        <w:rPr>
          <w:rFonts w:cs="Times New Roman"/>
          <w:szCs w:val="24"/>
        </w:rPr>
        <w:lastRenderedPageBreak/>
        <w:t>potentially misleading. Descriptive trends, growth rates, and Pearson correlations provide a transparent basis for interpretation when their limitations are stated clearly.</w:t>
      </w:r>
    </w:p>
    <w:p w14:paraId="7F37AC2B" w14:textId="4BE3A56D" w:rsidR="00744CFB" w:rsidRDefault="00715989" w:rsidP="00334E2F">
      <w:pPr>
        <w:spacing w:after="0"/>
        <w:ind w:left="360"/>
        <w:jc w:val="both"/>
        <w:rPr>
          <w:rFonts w:cs="Times New Roman"/>
          <w:szCs w:val="24"/>
        </w:rPr>
      </w:pPr>
      <w:r w:rsidRPr="00611403">
        <w:rPr>
          <w:rFonts w:cs="Times New Roman"/>
          <w:szCs w:val="24"/>
        </w:rPr>
        <w:t>To strengthen the empirical foundation, the study adds a cross-sectional provincial analysis for 202</w:t>
      </w:r>
      <w:r w:rsidR="00014382">
        <w:rPr>
          <w:rFonts w:cs="Times New Roman"/>
          <w:szCs w:val="24"/>
        </w:rPr>
        <w:t>5</w:t>
      </w:r>
      <w:r w:rsidRPr="00611403">
        <w:rPr>
          <w:rFonts w:cs="Times New Roman"/>
          <w:szCs w:val="24"/>
        </w:rPr>
        <w:t>. The provincial analysis uses QRIS merchant counts and internet-access percentages across provinces. This cross-sectional layer does not prove causality either, but it improves the diagnosis of regional concentration and digital-readiness gaps. The design is therefore deliberately conservative: it avoids overclaiming, while still extracting useful policy evidence from available secondary data.</w:t>
      </w:r>
    </w:p>
    <w:p w14:paraId="23F3F1FE" w14:textId="77777777" w:rsidR="00744CFB" w:rsidRPr="00611403" w:rsidRDefault="00715989" w:rsidP="00334E2F">
      <w:pPr>
        <w:pStyle w:val="Heading2"/>
        <w:spacing w:before="0" w:after="0"/>
      </w:pPr>
      <w:r w:rsidRPr="00611403">
        <w:t>3.2 Data and Variables</w:t>
      </w:r>
    </w:p>
    <w:p w14:paraId="609757DE" w14:textId="12DE8DFF" w:rsidR="00744CFB" w:rsidRDefault="00715989" w:rsidP="00334E2F">
      <w:pPr>
        <w:spacing w:after="0"/>
        <w:ind w:left="360"/>
        <w:jc w:val="both"/>
        <w:rPr>
          <w:rFonts w:cs="Times New Roman"/>
          <w:szCs w:val="24"/>
        </w:rPr>
      </w:pPr>
      <w:r w:rsidRPr="00611403">
        <w:rPr>
          <w:rFonts w:cs="Times New Roman"/>
          <w:szCs w:val="24"/>
        </w:rPr>
        <w:t xml:space="preserve">The study uses secondary data from institutionally relevant sources: Bank Indonesia and </w:t>
      </w:r>
      <w:proofErr w:type="spellStart"/>
      <w:r w:rsidRPr="00611403">
        <w:rPr>
          <w:rFonts w:cs="Times New Roman"/>
          <w:szCs w:val="24"/>
        </w:rPr>
        <w:t>Databoks</w:t>
      </w:r>
      <w:proofErr w:type="spellEnd"/>
      <w:r w:rsidRPr="00611403">
        <w:rPr>
          <w:rFonts w:cs="Times New Roman"/>
          <w:szCs w:val="24"/>
        </w:rPr>
        <w:t xml:space="preserve"> for QRIS merchant information, OJK for financial literacy, inclusion, and banking statistics, the Ministry of Cooperatives and SMEs for MSME counts, and a provincial internet-access dataset for 2024. The n</w:t>
      </w:r>
      <w:r w:rsidR="00014382">
        <w:rPr>
          <w:rFonts w:cs="Times New Roman"/>
          <w:szCs w:val="24"/>
        </w:rPr>
        <w:t>ational dataset covers 2020-2025</w:t>
      </w:r>
      <w:r w:rsidRPr="00611403">
        <w:rPr>
          <w:rFonts w:cs="Times New Roman"/>
          <w:szCs w:val="24"/>
        </w:rPr>
        <w:t>. The provincial dataset covers QRIS merchant distribution across 3</w:t>
      </w:r>
      <w:r w:rsidR="00224568">
        <w:rPr>
          <w:rFonts w:cs="Times New Roman"/>
          <w:szCs w:val="24"/>
        </w:rPr>
        <w:t>8</w:t>
      </w:r>
      <w:r w:rsidRPr="00611403">
        <w:rPr>
          <w:rFonts w:cs="Times New Roman"/>
          <w:szCs w:val="24"/>
        </w:rPr>
        <w:t xml:space="preserve"> provinces and internet access across 38 provinces in 202</w:t>
      </w:r>
      <w:r w:rsidR="00014382">
        <w:rPr>
          <w:rFonts w:cs="Times New Roman"/>
          <w:szCs w:val="24"/>
        </w:rPr>
        <w:t>5</w:t>
      </w:r>
      <w:r w:rsidR="00C92875">
        <w:rPr>
          <w:rFonts w:cs="Times New Roman"/>
          <w:szCs w:val="24"/>
        </w:rPr>
        <w:t>.</w:t>
      </w:r>
    </w:p>
    <w:p w14:paraId="2912BB23" w14:textId="77777777" w:rsidR="00744CFB" w:rsidRPr="00611403" w:rsidRDefault="00715989" w:rsidP="00446304">
      <w:pPr>
        <w:spacing w:after="0"/>
        <w:jc w:val="both"/>
        <w:rPr>
          <w:rFonts w:cs="Times New Roman"/>
          <w:szCs w:val="24"/>
        </w:rPr>
      </w:pPr>
      <w:r w:rsidRPr="00611403">
        <w:rPr>
          <w:rFonts w:cs="Times New Roman"/>
          <w:i/>
          <w:szCs w:val="24"/>
        </w:rPr>
        <w:t>Table 1. Variables and operational definitions</w:t>
      </w:r>
    </w:p>
    <w:tbl>
      <w:tblPr>
        <w:tblStyle w:val="TableGrid"/>
        <w:tblW w:w="0" w:type="auto"/>
        <w:jc w:val="center"/>
        <w:tblLook w:val="04A0" w:firstRow="1" w:lastRow="0" w:firstColumn="1" w:lastColumn="0" w:noHBand="0" w:noVBand="1"/>
      </w:tblPr>
      <w:tblGrid>
        <w:gridCol w:w="1449"/>
        <w:gridCol w:w="1658"/>
        <w:gridCol w:w="1819"/>
        <w:gridCol w:w="1614"/>
        <w:gridCol w:w="1954"/>
      </w:tblGrid>
      <w:tr w:rsidR="00744CFB" w:rsidRPr="00611403" w14:paraId="731638D9" w14:textId="77777777" w:rsidTr="00BC6DFF">
        <w:trPr>
          <w:tblHeader/>
          <w:jc w:val="center"/>
        </w:trPr>
        <w:tc>
          <w:tcPr>
            <w:tcW w:w="1748" w:type="dxa"/>
            <w:shd w:val="clear" w:color="auto" w:fill="D9EAF7"/>
            <w:vAlign w:val="center"/>
          </w:tcPr>
          <w:p w14:paraId="4EA1FF3C" w14:textId="77777777" w:rsidR="00744CFB" w:rsidRPr="00611403" w:rsidRDefault="00715989" w:rsidP="008B3E55">
            <w:pPr>
              <w:spacing w:after="0" w:line="240" w:lineRule="auto"/>
              <w:jc w:val="both"/>
              <w:rPr>
                <w:rFonts w:cs="Times New Roman"/>
                <w:szCs w:val="24"/>
              </w:rPr>
            </w:pPr>
            <w:r w:rsidRPr="00611403">
              <w:rPr>
                <w:rFonts w:cs="Times New Roman"/>
                <w:b/>
                <w:szCs w:val="24"/>
              </w:rPr>
              <w:t>Variable</w:t>
            </w:r>
          </w:p>
        </w:tc>
        <w:tc>
          <w:tcPr>
            <w:tcW w:w="1901" w:type="dxa"/>
            <w:shd w:val="clear" w:color="auto" w:fill="D9EAF7"/>
            <w:vAlign w:val="center"/>
          </w:tcPr>
          <w:p w14:paraId="37C9929D" w14:textId="77777777" w:rsidR="00744CFB" w:rsidRPr="00611403" w:rsidRDefault="00715989" w:rsidP="008B3E55">
            <w:pPr>
              <w:spacing w:after="0" w:line="240" w:lineRule="auto"/>
              <w:jc w:val="both"/>
              <w:rPr>
                <w:rFonts w:cs="Times New Roman"/>
                <w:szCs w:val="24"/>
              </w:rPr>
            </w:pPr>
            <w:r w:rsidRPr="00611403">
              <w:rPr>
                <w:rFonts w:cs="Times New Roman"/>
                <w:b/>
                <w:szCs w:val="24"/>
              </w:rPr>
              <w:t>Operational role</w:t>
            </w:r>
          </w:p>
        </w:tc>
        <w:tc>
          <w:tcPr>
            <w:tcW w:w="2048" w:type="dxa"/>
            <w:shd w:val="clear" w:color="auto" w:fill="D9EAF7"/>
            <w:vAlign w:val="center"/>
          </w:tcPr>
          <w:p w14:paraId="4B0A6781" w14:textId="77777777" w:rsidR="00744CFB" w:rsidRPr="00611403" w:rsidRDefault="00715989" w:rsidP="008B3E55">
            <w:pPr>
              <w:spacing w:after="0" w:line="240" w:lineRule="auto"/>
              <w:jc w:val="both"/>
              <w:rPr>
                <w:rFonts w:cs="Times New Roman"/>
                <w:szCs w:val="24"/>
              </w:rPr>
            </w:pPr>
            <w:r w:rsidRPr="00611403">
              <w:rPr>
                <w:rFonts w:cs="Times New Roman"/>
                <w:b/>
                <w:szCs w:val="24"/>
              </w:rPr>
              <w:t>Measurement</w:t>
            </w:r>
          </w:p>
        </w:tc>
        <w:tc>
          <w:tcPr>
            <w:tcW w:w="1772" w:type="dxa"/>
            <w:shd w:val="clear" w:color="auto" w:fill="D9EAF7"/>
            <w:vAlign w:val="center"/>
          </w:tcPr>
          <w:p w14:paraId="69318ADD" w14:textId="77777777" w:rsidR="00744CFB" w:rsidRPr="00611403" w:rsidRDefault="00715989" w:rsidP="008B3E55">
            <w:pPr>
              <w:spacing w:after="0" w:line="240" w:lineRule="auto"/>
              <w:jc w:val="both"/>
              <w:rPr>
                <w:rFonts w:cs="Times New Roman"/>
                <w:szCs w:val="24"/>
              </w:rPr>
            </w:pPr>
            <w:r w:rsidRPr="00611403">
              <w:rPr>
                <w:rFonts w:cs="Times New Roman"/>
                <w:b/>
                <w:szCs w:val="24"/>
              </w:rPr>
              <w:t>Main source</w:t>
            </w:r>
          </w:p>
        </w:tc>
        <w:tc>
          <w:tcPr>
            <w:tcW w:w="2313" w:type="dxa"/>
            <w:shd w:val="clear" w:color="auto" w:fill="D9EAF7"/>
            <w:vAlign w:val="center"/>
          </w:tcPr>
          <w:p w14:paraId="2CA939AC" w14:textId="77777777" w:rsidR="00744CFB" w:rsidRPr="00611403" w:rsidRDefault="00715989" w:rsidP="008B3E55">
            <w:pPr>
              <w:spacing w:after="0" w:line="240" w:lineRule="auto"/>
              <w:jc w:val="both"/>
              <w:rPr>
                <w:rFonts w:cs="Times New Roman"/>
                <w:szCs w:val="24"/>
              </w:rPr>
            </w:pPr>
            <w:r w:rsidRPr="00611403">
              <w:rPr>
                <w:rFonts w:cs="Times New Roman"/>
                <w:b/>
                <w:szCs w:val="24"/>
              </w:rPr>
              <w:t>Key limitation</w:t>
            </w:r>
          </w:p>
        </w:tc>
      </w:tr>
      <w:tr w:rsidR="00744CFB" w:rsidRPr="00611403" w14:paraId="60E84165" w14:textId="77777777" w:rsidTr="00BC6DFF">
        <w:trPr>
          <w:jc w:val="center"/>
        </w:trPr>
        <w:tc>
          <w:tcPr>
            <w:tcW w:w="1748" w:type="dxa"/>
            <w:vAlign w:val="center"/>
          </w:tcPr>
          <w:p w14:paraId="368FD3F8" w14:textId="77777777" w:rsidR="00744CFB" w:rsidRPr="00611403" w:rsidRDefault="00715989" w:rsidP="008B3E55">
            <w:pPr>
              <w:spacing w:after="0" w:line="240" w:lineRule="auto"/>
              <w:rPr>
                <w:rFonts w:cs="Times New Roman"/>
                <w:szCs w:val="24"/>
              </w:rPr>
            </w:pPr>
            <w:r w:rsidRPr="00611403">
              <w:rPr>
                <w:rFonts w:cs="Times New Roman"/>
                <w:szCs w:val="24"/>
              </w:rPr>
              <w:t>QRIS merchants</w:t>
            </w:r>
          </w:p>
        </w:tc>
        <w:tc>
          <w:tcPr>
            <w:tcW w:w="1901" w:type="dxa"/>
            <w:vAlign w:val="center"/>
          </w:tcPr>
          <w:p w14:paraId="46C3A3BD" w14:textId="77777777" w:rsidR="00744CFB" w:rsidRPr="00611403" w:rsidRDefault="00715989" w:rsidP="008B3E55">
            <w:pPr>
              <w:spacing w:after="0" w:line="240" w:lineRule="auto"/>
              <w:rPr>
                <w:rFonts w:cs="Times New Roman"/>
                <w:szCs w:val="24"/>
              </w:rPr>
            </w:pPr>
            <w:r w:rsidRPr="00611403">
              <w:rPr>
                <w:rFonts w:cs="Times New Roman"/>
                <w:szCs w:val="24"/>
              </w:rPr>
              <w:t>Digital payment access</w:t>
            </w:r>
          </w:p>
        </w:tc>
        <w:tc>
          <w:tcPr>
            <w:tcW w:w="2048" w:type="dxa"/>
            <w:vAlign w:val="center"/>
          </w:tcPr>
          <w:p w14:paraId="5A6D70E9" w14:textId="77777777" w:rsidR="00744CFB" w:rsidRPr="00611403" w:rsidRDefault="00715989" w:rsidP="008B3E55">
            <w:pPr>
              <w:spacing w:after="0" w:line="240" w:lineRule="auto"/>
              <w:rPr>
                <w:rFonts w:cs="Times New Roman"/>
                <w:szCs w:val="24"/>
              </w:rPr>
            </w:pPr>
            <w:r w:rsidRPr="00611403">
              <w:rPr>
                <w:rFonts w:cs="Times New Roman"/>
                <w:szCs w:val="24"/>
              </w:rPr>
              <w:t>Registered merchants, million units</w:t>
            </w:r>
          </w:p>
        </w:tc>
        <w:tc>
          <w:tcPr>
            <w:tcW w:w="1772" w:type="dxa"/>
            <w:vAlign w:val="center"/>
          </w:tcPr>
          <w:p w14:paraId="33918006" w14:textId="77777777" w:rsidR="00744CFB" w:rsidRPr="00611403" w:rsidRDefault="00715989" w:rsidP="008B3E55">
            <w:pPr>
              <w:spacing w:after="0" w:line="240" w:lineRule="auto"/>
              <w:rPr>
                <w:rFonts w:cs="Times New Roman"/>
                <w:szCs w:val="24"/>
              </w:rPr>
            </w:pPr>
            <w:r w:rsidRPr="00611403">
              <w:rPr>
                <w:rFonts w:cs="Times New Roman"/>
                <w:szCs w:val="24"/>
              </w:rPr>
              <w:t>Bank Indonesia; Databoks</w:t>
            </w:r>
          </w:p>
        </w:tc>
        <w:tc>
          <w:tcPr>
            <w:tcW w:w="2313" w:type="dxa"/>
            <w:vAlign w:val="center"/>
          </w:tcPr>
          <w:p w14:paraId="6FE936CD" w14:textId="77777777" w:rsidR="00744CFB" w:rsidRPr="00611403" w:rsidRDefault="00715989" w:rsidP="008B3E55">
            <w:pPr>
              <w:spacing w:after="0" w:line="240" w:lineRule="auto"/>
              <w:rPr>
                <w:rFonts w:cs="Times New Roman"/>
                <w:szCs w:val="24"/>
              </w:rPr>
            </w:pPr>
            <w:r w:rsidRPr="00611403">
              <w:rPr>
                <w:rFonts w:cs="Times New Roman"/>
                <w:szCs w:val="24"/>
              </w:rPr>
              <w:t>Registration is not identical to active use</w:t>
            </w:r>
          </w:p>
        </w:tc>
      </w:tr>
      <w:tr w:rsidR="00744CFB" w:rsidRPr="00611403" w14:paraId="0A32262F" w14:textId="77777777" w:rsidTr="00BC6DFF">
        <w:trPr>
          <w:jc w:val="center"/>
        </w:trPr>
        <w:tc>
          <w:tcPr>
            <w:tcW w:w="1748" w:type="dxa"/>
            <w:vAlign w:val="center"/>
          </w:tcPr>
          <w:p w14:paraId="4921A153" w14:textId="77777777" w:rsidR="00744CFB" w:rsidRPr="00611403" w:rsidRDefault="00715989" w:rsidP="008B3E55">
            <w:pPr>
              <w:spacing w:after="0" w:line="240" w:lineRule="auto"/>
              <w:rPr>
                <w:rFonts w:cs="Times New Roman"/>
                <w:szCs w:val="24"/>
              </w:rPr>
            </w:pPr>
            <w:r w:rsidRPr="00611403">
              <w:rPr>
                <w:rFonts w:cs="Times New Roman"/>
                <w:szCs w:val="24"/>
              </w:rPr>
              <w:t>Financial literacy index</w:t>
            </w:r>
          </w:p>
        </w:tc>
        <w:tc>
          <w:tcPr>
            <w:tcW w:w="1901" w:type="dxa"/>
            <w:vAlign w:val="center"/>
          </w:tcPr>
          <w:p w14:paraId="2A36BAA1" w14:textId="77777777" w:rsidR="00744CFB" w:rsidRPr="00611403" w:rsidRDefault="00715989" w:rsidP="008B3E55">
            <w:pPr>
              <w:spacing w:after="0" w:line="240" w:lineRule="auto"/>
              <w:rPr>
                <w:rFonts w:cs="Times New Roman"/>
                <w:szCs w:val="24"/>
              </w:rPr>
            </w:pPr>
            <w:r w:rsidRPr="00611403">
              <w:rPr>
                <w:rFonts w:cs="Times New Roman"/>
                <w:szCs w:val="24"/>
              </w:rPr>
              <w:t>Capability proxy</w:t>
            </w:r>
          </w:p>
        </w:tc>
        <w:tc>
          <w:tcPr>
            <w:tcW w:w="2048" w:type="dxa"/>
            <w:vAlign w:val="center"/>
          </w:tcPr>
          <w:p w14:paraId="10A2854A" w14:textId="77777777" w:rsidR="00744CFB" w:rsidRPr="00611403" w:rsidRDefault="00715989" w:rsidP="008B3E55">
            <w:pPr>
              <w:spacing w:after="0" w:line="240" w:lineRule="auto"/>
              <w:rPr>
                <w:rFonts w:cs="Times New Roman"/>
                <w:szCs w:val="24"/>
              </w:rPr>
            </w:pPr>
            <w:r w:rsidRPr="00611403">
              <w:rPr>
                <w:rFonts w:cs="Times New Roman"/>
                <w:szCs w:val="24"/>
              </w:rPr>
              <w:t>Percentage of population with adequate literacy</w:t>
            </w:r>
          </w:p>
        </w:tc>
        <w:tc>
          <w:tcPr>
            <w:tcW w:w="1772" w:type="dxa"/>
            <w:vAlign w:val="center"/>
          </w:tcPr>
          <w:p w14:paraId="45E01058" w14:textId="77777777" w:rsidR="00744CFB" w:rsidRPr="00611403" w:rsidRDefault="00715989" w:rsidP="008B3E55">
            <w:pPr>
              <w:spacing w:after="0" w:line="240" w:lineRule="auto"/>
              <w:rPr>
                <w:rFonts w:cs="Times New Roman"/>
                <w:szCs w:val="24"/>
              </w:rPr>
            </w:pPr>
            <w:r w:rsidRPr="00611403">
              <w:rPr>
                <w:rFonts w:cs="Times New Roman"/>
                <w:szCs w:val="24"/>
              </w:rPr>
              <w:t>OJK SNLIK</w:t>
            </w:r>
          </w:p>
        </w:tc>
        <w:tc>
          <w:tcPr>
            <w:tcW w:w="2313" w:type="dxa"/>
            <w:vAlign w:val="center"/>
          </w:tcPr>
          <w:p w14:paraId="3FDFDD1B" w14:textId="77777777" w:rsidR="00744CFB" w:rsidRPr="00611403" w:rsidRDefault="00715989" w:rsidP="008B3E55">
            <w:pPr>
              <w:spacing w:after="0" w:line="240" w:lineRule="auto"/>
              <w:rPr>
                <w:rFonts w:cs="Times New Roman"/>
                <w:szCs w:val="24"/>
              </w:rPr>
            </w:pPr>
            <w:r w:rsidRPr="00611403">
              <w:rPr>
                <w:rFonts w:cs="Times New Roman"/>
                <w:szCs w:val="24"/>
              </w:rPr>
              <w:t>Survey methodology may change over time</w:t>
            </w:r>
          </w:p>
        </w:tc>
      </w:tr>
      <w:tr w:rsidR="00744CFB" w:rsidRPr="00611403" w14:paraId="20B5A514" w14:textId="77777777" w:rsidTr="00BC6DFF">
        <w:trPr>
          <w:jc w:val="center"/>
        </w:trPr>
        <w:tc>
          <w:tcPr>
            <w:tcW w:w="1748" w:type="dxa"/>
            <w:vAlign w:val="center"/>
          </w:tcPr>
          <w:p w14:paraId="40EF9697" w14:textId="77777777" w:rsidR="00744CFB" w:rsidRPr="00611403" w:rsidRDefault="00715989" w:rsidP="008B3E55">
            <w:pPr>
              <w:spacing w:after="0" w:line="240" w:lineRule="auto"/>
              <w:rPr>
                <w:rFonts w:cs="Times New Roman"/>
                <w:szCs w:val="24"/>
              </w:rPr>
            </w:pPr>
            <w:r w:rsidRPr="00611403">
              <w:rPr>
                <w:rFonts w:cs="Times New Roman"/>
                <w:szCs w:val="24"/>
              </w:rPr>
              <w:t>Financial inclusion index</w:t>
            </w:r>
          </w:p>
        </w:tc>
        <w:tc>
          <w:tcPr>
            <w:tcW w:w="1901" w:type="dxa"/>
            <w:vAlign w:val="center"/>
          </w:tcPr>
          <w:p w14:paraId="4270FD91" w14:textId="77777777" w:rsidR="00744CFB" w:rsidRPr="00611403" w:rsidRDefault="00715989" w:rsidP="008B3E55">
            <w:pPr>
              <w:spacing w:after="0" w:line="240" w:lineRule="auto"/>
              <w:rPr>
                <w:rFonts w:cs="Times New Roman"/>
                <w:szCs w:val="24"/>
              </w:rPr>
            </w:pPr>
            <w:r w:rsidRPr="00611403">
              <w:rPr>
                <w:rFonts w:cs="Times New Roman"/>
                <w:szCs w:val="24"/>
              </w:rPr>
              <w:t>Formal access/use proxy</w:t>
            </w:r>
          </w:p>
        </w:tc>
        <w:tc>
          <w:tcPr>
            <w:tcW w:w="2048" w:type="dxa"/>
            <w:vAlign w:val="center"/>
          </w:tcPr>
          <w:p w14:paraId="03BC6DEF" w14:textId="77777777" w:rsidR="00744CFB" w:rsidRPr="00611403" w:rsidRDefault="00715989" w:rsidP="008B3E55">
            <w:pPr>
              <w:spacing w:after="0" w:line="240" w:lineRule="auto"/>
              <w:rPr>
                <w:rFonts w:cs="Times New Roman"/>
                <w:szCs w:val="24"/>
              </w:rPr>
            </w:pPr>
            <w:r w:rsidRPr="00611403">
              <w:rPr>
                <w:rFonts w:cs="Times New Roman"/>
                <w:szCs w:val="24"/>
              </w:rPr>
              <w:t>National inclusion percentage</w:t>
            </w:r>
          </w:p>
        </w:tc>
        <w:tc>
          <w:tcPr>
            <w:tcW w:w="1772" w:type="dxa"/>
            <w:vAlign w:val="center"/>
          </w:tcPr>
          <w:p w14:paraId="6ED21D86" w14:textId="77777777" w:rsidR="00744CFB" w:rsidRPr="00611403" w:rsidRDefault="00715989" w:rsidP="008B3E55">
            <w:pPr>
              <w:spacing w:after="0" w:line="240" w:lineRule="auto"/>
              <w:rPr>
                <w:rFonts w:cs="Times New Roman"/>
                <w:szCs w:val="24"/>
              </w:rPr>
            </w:pPr>
            <w:r w:rsidRPr="00611403">
              <w:rPr>
                <w:rFonts w:cs="Times New Roman"/>
                <w:szCs w:val="24"/>
              </w:rPr>
              <w:t>OJK SNLIK</w:t>
            </w:r>
          </w:p>
        </w:tc>
        <w:tc>
          <w:tcPr>
            <w:tcW w:w="2313" w:type="dxa"/>
            <w:vAlign w:val="center"/>
          </w:tcPr>
          <w:p w14:paraId="0DC38443" w14:textId="77777777" w:rsidR="00744CFB" w:rsidRPr="00611403" w:rsidRDefault="00715989" w:rsidP="008B3E55">
            <w:pPr>
              <w:spacing w:after="0" w:line="240" w:lineRule="auto"/>
              <w:rPr>
                <w:rFonts w:cs="Times New Roman"/>
                <w:szCs w:val="24"/>
              </w:rPr>
            </w:pPr>
            <w:r w:rsidRPr="00611403">
              <w:rPr>
                <w:rFonts w:cs="Times New Roman"/>
                <w:szCs w:val="24"/>
              </w:rPr>
              <w:t>Movement may reflect survey design and effective-use measurement</w:t>
            </w:r>
          </w:p>
        </w:tc>
      </w:tr>
      <w:tr w:rsidR="00744CFB" w:rsidRPr="00611403" w14:paraId="3324EB9A" w14:textId="77777777" w:rsidTr="00BC6DFF">
        <w:trPr>
          <w:jc w:val="center"/>
        </w:trPr>
        <w:tc>
          <w:tcPr>
            <w:tcW w:w="1748" w:type="dxa"/>
            <w:vAlign w:val="center"/>
          </w:tcPr>
          <w:p w14:paraId="738AC695" w14:textId="77777777" w:rsidR="00744CFB" w:rsidRPr="00611403" w:rsidRDefault="00715989" w:rsidP="008B3E55">
            <w:pPr>
              <w:spacing w:after="0" w:line="240" w:lineRule="auto"/>
              <w:rPr>
                <w:rFonts w:cs="Times New Roman"/>
                <w:szCs w:val="24"/>
              </w:rPr>
            </w:pPr>
            <w:r w:rsidRPr="00611403">
              <w:rPr>
                <w:rFonts w:cs="Times New Roman"/>
                <w:szCs w:val="24"/>
              </w:rPr>
              <w:t>MSME credit</w:t>
            </w:r>
          </w:p>
        </w:tc>
        <w:tc>
          <w:tcPr>
            <w:tcW w:w="1901" w:type="dxa"/>
            <w:vAlign w:val="center"/>
          </w:tcPr>
          <w:p w14:paraId="2DF1258F" w14:textId="77777777" w:rsidR="00744CFB" w:rsidRPr="00611403" w:rsidRDefault="00715989" w:rsidP="008B3E55">
            <w:pPr>
              <w:spacing w:after="0" w:line="240" w:lineRule="auto"/>
              <w:rPr>
                <w:rFonts w:cs="Times New Roman"/>
                <w:szCs w:val="24"/>
              </w:rPr>
            </w:pPr>
            <w:r w:rsidRPr="00611403">
              <w:rPr>
                <w:rFonts w:cs="Times New Roman"/>
                <w:szCs w:val="24"/>
              </w:rPr>
              <w:t>Formal financing access</w:t>
            </w:r>
          </w:p>
        </w:tc>
        <w:tc>
          <w:tcPr>
            <w:tcW w:w="2048" w:type="dxa"/>
            <w:vAlign w:val="center"/>
          </w:tcPr>
          <w:p w14:paraId="173ABA4A" w14:textId="77777777" w:rsidR="00744CFB" w:rsidRPr="00611403" w:rsidRDefault="00715989" w:rsidP="008B3E55">
            <w:pPr>
              <w:spacing w:after="0" w:line="240" w:lineRule="auto"/>
              <w:rPr>
                <w:rFonts w:cs="Times New Roman"/>
                <w:szCs w:val="24"/>
              </w:rPr>
            </w:pPr>
            <w:r w:rsidRPr="00611403">
              <w:rPr>
                <w:rFonts w:cs="Times New Roman"/>
                <w:szCs w:val="24"/>
              </w:rPr>
              <w:t>Outstanding MSME credit, Rp trillion</w:t>
            </w:r>
          </w:p>
        </w:tc>
        <w:tc>
          <w:tcPr>
            <w:tcW w:w="1772" w:type="dxa"/>
            <w:vAlign w:val="center"/>
          </w:tcPr>
          <w:p w14:paraId="43096C78" w14:textId="77777777" w:rsidR="00744CFB" w:rsidRPr="00611403" w:rsidRDefault="00715989" w:rsidP="008B3E55">
            <w:pPr>
              <w:spacing w:after="0" w:line="240" w:lineRule="auto"/>
              <w:rPr>
                <w:rFonts w:cs="Times New Roman"/>
                <w:szCs w:val="24"/>
              </w:rPr>
            </w:pPr>
            <w:r w:rsidRPr="00611403">
              <w:rPr>
                <w:rFonts w:cs="Times New Roman"/>
                <w:szCs w:val="24"/>
              </w:rPr>
              <w:t>OJK banking statistics</w:t>
            </w:r>
          </w:p>
        </w:tc>
        <w:tc>
          <w:tcPr>
            <w:tcW w:w="2313" w:type="dxa"/>
            <w:vAlign w:val="center"/>
          </w:tcPr>
          <w:p w14:paraId="5B930B4A" w14:textId="77777777" w:rsidR="00744CFB" w:rsidRPr="00611403" w:rsidRDefault="00715989" w:rsidP="008B3E55">
            <w:pPr>
              <w:spacing w:after="0" w:line="240" w:lineRule="auto"/>
              <w:rPr>
                <w:rFonts w:cs="Times New Roman"/>
                <w:szCs w:val="24"/>
              </w:rPr>
            </w:pPr>
            <w:r w:rsidRPr="00611403">
              <w:rPr>
                <w:rFonts w:cs="Times New Roman"/>
                <w:szCs w:val="24"/>
              </w:rPr>
              <w:t>Credit volume does not reveal borrower quality or loan distribution</w:t>
            </w:r>
          </w:p>
        </w:tc>
      </w:tr>
      <w:tr w:rsidR="00744CFB" w:rsidRPr="00611403" w14:paraId="32DC78E5" w14:textId="77777777" w:rsidTr="00BC6DFF">
        <w:trPr>
          <w:jc w:val="center"/>
        </w:trPr>
        <w:tc>
          <w:tcPr>
            <w:tcW w:w="1748" w:type="dxa"/>
            <w:vAlign w:val="center"/>
          </w:tcPr>
          <w:p w14:paraId="2A6F44FE" w14:textId="77777777" w:rsidR="00744CFB" w:rsidRPr="00611403" w:rsidRDefault="00715989" w:rsidP="008B3E55">
            <w:pPr>
              <w:spacing w:after="0" w:line="240" w:lineRule="auto"/>
              <w:rPr>
                <w:rFonts w:cs="Times New Roman"/>
                <w:szCs w:val="24"/>
              </w:rPr>
            </w:pPr>
            <w:r w:rsidRPr="00611403">
              <w:rPr>
                <w:rFonts w:cs="Times New Roman"/>
                <w:szCs w:val="24"/>
              </w:rPr>
              <w:t>Number of MSMEs</w:t>
            </w:r>
          </w:p>
        </w:tc>
        <w:tc>
          <w:tcPr>
            <w:tcW w:w="1901" w:type="dxa"/>
            <w:vAlign w:val="center"/>
          </w:tcPr>
          <w:p w14:paraId="09B69A25" w14:textId="77777777" w:rsidR="00744CFB" w:rsidRPr="00611403" w:rsidRDefault="00715989" w:rsidP="008B3E55">
            <w:pPr>
              <w:spacing w:after="0" w:line="240" w:lineRule="auto"/>
              <w:rPr>
                <w:rFonts w:cs="Times New Roman"/>
                <w:szCs w:val="24"/>
              </w:rPr>
            </w:pPr>
            <w:r w:rsidRPr="00611403">
              <w:rPr>
                <w:rFonts w:cs="Times New Roman"/>
                <w:szCs w:val="24"/>
              </w:rPr>
              <w:t>MSME population proxy</w:t>
            </w:r>
          </w:p>
        </w:tc>
        <w:tc>
          <w:tcPr>
            <w:tcW w:w="2048" w:type="dxa"/>
            <w:vAlign w:val="center"/>
          </w:tcPr>
          <w:p w14:paraId="3D443710" w14:textId="77777777" w:rsidR="00744CFB" w:rsidRPr="00611403" w:rsidRDefault="00715989" w:rsidP="008B3E55">
            <w:pPr>
              <w:spacing w:after="0" w:line="240" w:lineRule="auto"/>
              <w:rPr>
                <w:rFonts w:cs="Times New Roman"/>
                <w:szCs w:val="24"/>
              </w:rPr>
            </w:pPr>
            <w:r w:rsidRPr="00611403">
              <w:rPr>
                <w:rFonts w:cs="Times New Roman"/>
                <w:szCs w:val="24"/>
              </w:rPr>
              <w:t>Million business units</w:t>
            </w:r>
          </w:p>
        </w:tc>
        <w:tc>
          <w:tcPr>
            <w:tcW w:w="1772" w:type="dxa"/>
            <w:vAlign w:val="center"/>
          </w:tcPr>
          <w:p w14:paraId="7D012E6F" w14:textId="77777777" w:rsidR="00744CFB" w:rsidRPr="00611403" w:rsidRDefault="00715989" w:rsidP="008B3E55">
            <w:pPr>
              <w:spacing w:after="0" w:line="240" w:lineRule="auto"/>
              <w:rPr>
                <w:rFonts w:cs="Times New Roman"/>
                <w:szCs w:val="24"/>
              </w:rPr>
            </w:pPr>
            <w:r w:rsidRPr="00611403">
              <w:rPr>
                <w:rFonts w:cs="Times New Roman"/>
                <w:szCs w:val="24"/>
              </w:rPr>
              <w:t>Ministry of Cooperatives and SMEs</w:t>
            </w:r>
          </w:p>
        </w:tc>
        <w:tc>
          <w:tcPr>
            <w:tcW w:w="2313" w:type="dxa"/>
            <w:vAlign w:val="center"/>
          </w:tcPr>
          <w:p w14:paraId="315F5F6C" w14:textId="77777777" w:rsidR="00744CFB" w:rsidRPr="00611403" w:rsidRDefault="00715989" w:rsidP="008B3E55">
            <w:pPr>
              <w:spacing w:after="0" w:line="240" w:lineRule="auto"/>
              <w:rPr>
                <w:rFonts w:cs="Times New Roman"/>
                <w:szCs w:val="24"/>
              </w:rPr>
            </w:pPr>
            <w:r w:rsidRPr="00611403">
              <w:rPr>
                <w:rFonts w:cs="Times New Roman"/>
                <w:szCs w:val="24"/>
              </w:rPr>
              <w:t xml:space="preserve">Administrative consolidation can </w:t>
            </w:r>
            <w:r w:rsidRPr="00611403">
              <w:rPr>
                <w:rFonts w:cs="Times New Roman"/>
                <w:szCs w:val="24"/>
              </w:rPr>
              <w:lastRenderedPageBreak/>
              <w:t>affect recorded counts</w:t>
            </w:r>
          </w:p>
        </w:tc>
      </w:tr>
      <w:tr w:rsidR="00744CFB" w:rsidRPr="00611403" w14:paraId="2A4AFE90" w14:textId="77777777" w:rsidTr="00BC6DFF">
        <w:trPr>
          <w:jc w:val="center"/>
        </w:trPr>
        <w:tc>
          <w:tcPr>
            <w:tcW w:w="1748" w:type="dxa"/>
            <w:vAlign w:val="center"/>
          </w:tcPr>
          <w:p w14:paraId="4F16A7AE" w14:textId="77777777" w:rsidR="00744CFB" w:rsidRPr="00611403" w:rsidRDefault="00715989" w:rsidP="008B3E55">
            <w:pPr>
              <w:spacing w:after="0" w:line="240" w:lineRule="auto"/>
              <w:jc w:val="both"/>
              <w:rPr>
                <w:rFonts w:cs="Times New Roman"/>
                <w:szCs w:val="24"/>
              </w:rPr>
            </w:pPr>
            <w:r w:rsidRPr="00611403">
              <w:rPr>
                <w:rFonts w:cs="Times New Roman"/>
                <w:szCs w:val="24"/>
              </w:rPr>
              <w:lastRenderedPageBreak/>
              <w:t>Provincial internet access</w:t>
            </w:r>
          </w:p>
        </w:tc>
        <w:tc>
          <w:tcPr>
            <w:tcW w:w="1901" w:type="dxa"/>
            <w:vAlign w:val="center"/>
          </w:tcPr>
          <w:p w14:paraId="332BAAC8" w14:textId="77777777" w:rsidR="00744CFB" w:rsidRPr="00611403" w:rsidRDefault="00715989" w:rsidP="008B3E55">
            <w:pPr>
              <w:spacing w:after="0" w:line="240" w:lineRule="auto"/>
              <w:jc w:val="both"/>
              <w:rPr>
                <w:rFonts w:cs="Times New Roman"/>
                <w:szCs w:val="24"/>
              </w:rPr>
            </w:pPr>
            <w:r w:rsidRPr="00611403">
              <w:rPr>
                <w:rFonts w:cs="Times New Roman"/>
                <w:szCs w:val="24"/>
              </w:rPr>
              <w:t>Digital connectivity proxy</w:t>
            </w:r>
          </w:p>
        </w:tc>
        <w:tc>
          <w:tcPr>
            <w:tcW w:w="2048" w:type="dxa"/>
            <w:vAlign w:val="center"/>
          </w:tcPr>
          <w:p w14:paraId="2D439C11" w14:textId="77777777" w:rsidR="00744CFB" w:rsidRPr="00611403" w:rsidRDefault="00715989" w:rsidP="008B3E55">
            <w:pPr>
              <w:spacing w:after="0" w:line="240" w:lineRule="auto"/>
              <w:jc w:val="both"/>
              <w:rPr>
                <w:rFonts w:cs="Times New Roman"/>
                <w:szCs w:val="24"/>
              </w:rPr>
            </w:pPr>
            <w:r w:rsidRPr="00611403">
              <w:rPr>
                <w:rFonts w:cs="Times New Roman"/>
                <w:szCs w:val="24"/>
              </w:rPr>
              <w:t>Population aged 5+ accessing internet in last three months</w:t>
            </w:r>
          </w:p>
        </w:tc>
        <w:tc>
          <w:tcPr>
            <w:tcW w:w="1772" w:type="dxa"/>
            <w:vAlign w:val="center"/>
          </w:tcPr>
          <w:p w14:paraId="15C6F0C0" w14:textId="77777777" w:rsidR="00744CFB" w:rsidRPr="00611403" w:rsidRDefault="00715989" w:rsidP="008B3E55">
            <w:pPr>
              <w:spacing w:after="0" w:line="240" w:lineRule="auto"/>
              <w:jc w:val="both"/>
              <w:rPr>
                <w:rFonts w:cs="Times New Roman"/>
                <w:szCs w:val="24"/>
              </w:rPr>
            </w:pPr>
            <w:r w:rsidRPr="00611403">
              <w:rPr>
                <w:rFonts w:cs="Times New Roman"/>
                <w:szCs w:val="24"/>
              </w:rPr>
              <w:t>Provincial 2024 internet-access dataset</w:t>
            </w:r>
          </w:p>
        </w:tc>
        <w:tc>
          <w:tcPr>
            <w:tcW w:w="2313" w:type="dxa"/>
            <w:vAlign w:val="center"/>
          </w:tcPr>
          <w:p w14:paraId="0C0EAE8D" w14:textId="77777777" w:rsidR="00744CFB" w:rsidRPr="00611403" w:rsidRDefault="00715989" w:rsidP="008B3E55">
            <w:pPr>
              <w:spacing w:after="0" w:line="240" w:lineRule="auto"/>
              <w:jc w:val="both"/>
              <w:rPr>
                <w:rFonts w:cs="Times New Roman"/>
                <w:szCs w:val="24"/>
              </w:rPr>
            </w:pPr>
            <w:r w:rsidRPr="00611403">
              <w:rPr>
                <w:rFonts w:cs="Times New Roman"/>
                <w:szCs w:val="24"/>
              </w:rPr>
              <w:t>Does not directly measure MSME-specific digital skills</w:t>
            </w:r>
          </w:p>
        </w:tc>
      </w:tr>
    </w:tbl>
    <w:p w14:paraId="6CF6D23D" w14:textId="77777777" w:rsidR="00866907" w:rsidRDefault="00866907" w:rsidP="00866907">
      <w:pPr>
        <w:pStyle w:val="Heading2"/>
        <w:spacing w:before="0" w:after="0"/>
        <w:ind w:left="360"/>
        <w:jc w:val="both"/>
        <w:rPr>
          <w:rFonts w:cs="Times New Roman"/>
          <w:b w:val="0"/>
          <w:bCs w:val="0"/>
        </w:rPr>
      </w:pPr>
      <w:r w:rsidRPr="007A1986">
        <w:rPr>
          <w:rFonts w:cs="Times New Roman"/>
          <w:b w:val="0"/>
          <w:bCs w:val="0"/>
          <w:i/>
          <w:iCs/>
        </w:rPr>
        <w:t xml:space="preserve">Source: Compiled by author </w:t>
      </w:r>
      <w:r w:rsidRPr="007A1986">
        <w:rPr>
          <w:rFonts w:cs="Times New Roman"/>
          <w:b w:val="0"/>
          <w:bCs w:val="0"/>
          <w:i/>
          <w:iCs/>
        </w:rPr>
        <w:fldChar w:fldCharType="begin" w:fldLock="1"/>
      </w:r>
      <w:r w:rsidRPr="007A1986">
        <w:rPr>
          <w:rFonts w:cs="Times New Roman"/>
          <w:b w:val="0"/>
          <w:bCs w:val="0"/>
          <w:i/>
          <w:iCs/>
        </w:rPr>
        <w:instrText>ADDIN CSL_CITATION {"citationItems":[{"id":"ITEM-1","itemData":{"author":[{"dropping-particle":"","family":"BI","given":"","non-dropping-particle":"","parse-names":false,"suffix":""}],"id":"ITEM-1","issued":{"date-parts":[["2024"]]},"title":"Data perkembangan jumlah merchant Quick Response Code Indonesian Standard (QRIS) di Indonesia periode 2020-2024","type":"article-journal"},"uris":["http://www.mendeley.com/documents/?uuid=5df0135d-c31f-448d-a2c9-08c7caa8606c"]}],"mendeley":{"formattedCitation":"(BI, 2024)","manualFormatting":"(BI, 2024","plainTextFormattedCitation":"(BI, 2024)","previouslyFormattedCitation":"(BI, 2024)"},"properties":{"noteIndex":0},"schema":"https://github.com/citation-style-language/schema/raw/master/csl-citation.json"}</w:instrText>
      </w:r>
      <w:r w:rsidRPr="007A1986">
        <w:rPr>
          <w:rFonts w:cs="Times New Roman"/>
          <w:b w:val="0"/>
          <w:bCs w:val="0"/>
          <w:i/>
          <w:iCs/>
        </w:rPr>
        <w:fldChar w:fldCharType="separate"/>
      </w:r>
      <w:r w:rsidRPr="007A1986">
        <w:rPr>
          <w:rFonts w:cs="Times New Roman"/>
          <w:b w:val="0"/>
          <w:bCs w:val="0"/>
          <w:i/>
          <w:iCs/>
          <w:noProof/>
        </w:rPr>
        <w:t>(BI, 2024</w:t>
      </w:r>
      <w:r w:rsidRPr="007A1986">
        <w:rPr>
          <w:rFonts w:cs="Times New Roman"/>
          <w:b w:val="0"/>
          <w:bCs w:val="0"/>
          <w:i/>
          <w:iCs/>
        </w:rPr>
        <w:fldChar w:fldCharType="end"/>
      </w:r>
      <w:r w:rsidRPr="007A1986">
        <w:rPr>
          <w:rFonts w:cs="Times New Roman"/>
          <w:b w:val="0"/>
          <w:bCs w:val="0"/>
          <w:i/>
          <w:iCs/>
        </w:rPr>
        <w:t xml:space="preserve">; </w:t>
      </w:r>
      <w:r w:rsidRPr="007A1986">
        <w:rPr>
          <w:rFonts w:cs="Times New Roman"/>
          <w:b w:val="0"/>
          <w:bCs w:val="0"/>
          <w:i/>
          <w:iCs/>
        </w:rPr>
        <w:fldChar w:fldCharType="begin" w:fldLock="1"/>
      </w:r>
      <w:r>
        <w:rPr>
          <w:rFonts w:cs="Times New Roman"/>
          <w:b w:val="0"/>
          <w:bCs w:val="0"/>
          <w:i/>
          <w:iCs/>
        </w:rPr>
        <w:instrText>ADDIN CSL_CITATION {"citationItems":[{"id":"ITEM-1","itemData":{"author":[{"dropping-particle":"","family":"OJK","given":"","non-dropping-particle":"","parse-names":false,"suffix":""}],"id":"ITEM-1","issued":{"date-parts":[["2024"]]},"title":"Hasil Survei Nasional Literasi dan Inklusi Keuangan (SNLIK) 2024","type":"article-journal"},"uris":["http://www.mendeley.com/documents/?uuid=b259c813-70ec-4903-943f-7a1f37fb7433"]}],"mendeley":{"formattedCitation":"(OJK, 2024a)","manualFormatting":"OJK, 2024","plainTextFormattedCitation":"(OJK, 2024a)","previouslyFormattedCitation":"(OJK, 2024a)"},"properties":{"noteIndex":0},"schema":"https://github.com/citation-style-language/schema/raw/master/csl-citation.json"}</w:instrText>
      </w:r>
      <w:r w:rsidRPr="007A1986">
        <w:rPr>
          <w:rFonts w:cs="Times New Roman"/>
          <w:b w:val="0"/>
          <w:bCs w:val="0"/>
          <w:i/>
          <w:iCs/>
        </w:rPr>
        <w:fldChar w:fldCharType="separate"/>
      </w:r>
      <w:r w:rsidRPr="007A1986">
        <w:rPr>
          <w:rFonts w:cs="Times New Roman"/>
          <w:b w:val="0"/>
          <w:bCs w:val="0"/>
          <w:i/>
          <w:iCs/>
          <w:noProof/>
        </w:rPr>
        <w:t>OJK, 2024</w:t>
      </w:r>
      <w:r w:rsidRPr="007A1986">
        <w:rPr>
          <w:rFonts w:cs="Times New Roman"/>
          <w:b w:val="0"/>
          <w:bCs w:val="0"/>
          <w:i/>
          <w:iCs/>
        </w:rPr>
        <w:fldChar w:fldCharType="end"/>
      </w:r>
      <w:r w:rsidRPr="007A1986">
        <w:rPr>
          <w:rFonts w:cs="Times New Roman"/>
          <w:b w:val="0"/>
          <w:bCs w:val="0"/>
          <w:i/>
          <w:iCs/>
        </w:rPr>
        <w:t xml:space="preserve">; </w:t>
      </w:r>
      <w:r w:rsidRPr="007A1986">
        <w:rPr>
          <w:rFonts w:cs="Times New Roman"/>
          <w:b w:val="0"/>
          <w:bCs w:val="0"/>
          <w:i/>
          <w:iCs/>
        </w:rPr>
        <w:fldChar w:fldCharType="begin" w:fldLock="1"/>
      </w:r>
      <w:r w:rsidRPr="007A1986">
        <w:rPr>
          <w:rFonts w:cs="Times New Roman"/>
          <w:b w:val="0"/>
          <w:bCs w:val="0"/>
          <w:i/>
          <w:iCs/>
        </w:rPr>
        <w:instrText>ADDIN CSL_CITATION {"citationItems":[{"id":"ITEM-1","itemData":{"author":[{"dropping-particle":"","family":"Indonesia","given":"Kementerian Koperasi dan Usaha Kecil dan Menengah Republik","non-dropping-particle":"","parse-names":false,"suffix":""}],"id":"ITEM-1","issued":{"date-parts":[["2024"]]},"title":"Laporan data perkembangan usaha mikro, kecil, dan menengah (UMKM) di Indonesia tahun 2020-2024","type":"article-journal"},"uris":["http://www.mendeley.com/documents/?uuid=e1753b4f-a69e-4d91-aa36-60340a895804"]}],"mendeley":{"formattedCitation":"(Indonesia, 2024)","manualFormatting":"Indonesia, 2024","plainTextFormattedCitation":"(Indonesia, 2024)","previouslyFormattedCitation":"(Indonesia, 2024)"},"properties":{"noteIndex":0},"schema":"https://github.com/citation-style-language/schema/raw/master/csl-citation.json"}</w:instrText>
      </w:r>
      <w:r w:rsidRPr="007A1986">
        <w:rPr>
          <w:rFonts w:cs="Times New Roman"/>
          <w:b w:val="0"/>
          <w:bCs w:val="0"/>
          <w:i/>
          <w:iCs/>
        </w:rPr>
        <w:fldChar w:fldCharType="separate"/>
      </w:r>
      <w:r w:rsidRPr="007A1986">
        <w:rPr>
          <w:rFonts w:cs="Times New Roman"/>
          <w:b w:val="0"/>
          <w:bCs w:val="0"/>
          <w:i/>
          <w:iCs/>
          <w:noProof/>
        </w:rPr>
        <w:t>Indonesia, 2024</w:t>
      </w:r>
      <w:r w:rsidRPr="007A1986">
        <w:rPr>
          <w:rFonts w:cs="Times New Roman"/>
          <w:b w:val="0"/>
          <w:bCs w:val="0"/>
          <w:i/>
          <w:iCs/>
        </w:rPr>
        <w:fldChar w:fldCharType="end"/>
      </w:r>
      <w:r w:rsidRPr="007A1986">
        <w:rPr>
          <w:rFonts w:cs="Times New Roman"/>
          <w:b w:val="0"/>
          <w:bCs w:val="0"/>
          <w:i/>
          <w:iCs/>
        </w:rPr>
        <w:t xml:space="preserve">; </w:t>
      </w:r>
      <w:r w:rsidRPr="007A1986">
        <w:rPr>
          <w:rFonts w:cs="Times New Roman"/>
          <w:b w:val="0"/>
          <w:bCs w:val="0"/>
          <w:i/>
          <w:iCs/>
        </w:rPr>
        <w:fldChar w:fldCharType="begin" w:fldLock="1"/>
      </w:r>
      <w:r w:rsidRPr="007A1986">
        <w:rPr>
          <w:rFonts w:cs="Times New Roman"/>
          <w:b w:val="0"/>
          <w:bCs w:val="0"/>
          <w:i/>
          <w:iCs/>
        </w:rPr>
        <w:instrText>ADDIN CSL_CITATION {"citationItems":[{"id":"ITEM-1","itemData":{"author":[{"dropping-particle":"","family":"BPS","given":"","non-dropping-particle":"","parse-names":false,"suffix":""}],"id":"ITEM-1","issued":{"date-parts":[["2024"]]},"title":"Persentase penduduk berumur 5 tahun ke atas yang mengakses internet dalam 3 bulan terakhir menurut provinsi","type":"article-journal"},"uris":["http://www.mendeley.com/documents/?uuid=544a034f-e101-4761-8fcc-d6a1063c4e18"]}],"mendeley":{"formattedCitation":"(BPS, 2024)","manualFormatting":"BPS, 2024","plainTextFormattedCitation":"(BPS, 2024)","previouslyFormattedCitation":"(BPS, 2024)"},"properties":{"noteIndex":0},"schema":"https://github.com/citation-style-language/schema/raw/master/csl-citation.json"}</w:instrText>
      </w:r>
      <w:r w:rsidRPr="007A1986">
        <w:rPr>
          <w:rFonts w:cs="Times New Roman"/>
          <w:b w:val="0"/>
          <w:bCs w:val="0"/>
          <w:i/>
          <w:iCs/>
        </w:rPr>
        <w:fldChar w:fldCharType="separate"/>
      </w:r>
      <w:r w:rsidRPr="007A1986">
        <w:rPr>
          <w:rFonts w:cs="Times New Roman"/>
          <w:b w:val="0"/>
          <w:bCs w:val="0"/>
          <w:i/>
          <w:iCs/>
          <w:noProof/>
        </w:rPr>
        <w:t>BPS, 2024</w:t>
      </w:r>
      <w:r w:rsidRPr="007A1986">
        <w:rPr>
          <w:rFonts w:cs="Times New Roman"/>
          <w:b w:val="0"/>
          <w:bCs w:val="0"/>
          <w:i/>
          <w:iCs/>
        </w:rPr>
        <w:fldChar w:fldCharType="end"/>
      </w:r>
      <w:r w:rsidRPr="007A1986">
        <w:rPr>
          <w:rFonts w:cs="Times New Roman"/>
          <w:b w:val="0"/>
          <w:bCs w:val="0"/>
          <w:i/>
          <w:iCs/>
        </w:rPr>
        <w:t xml:space="preserve">; </w:t>
      </w:r>
      <w:r w:rsidRPr="007A1986">
        <w:rPr>
          <w:rFonts w:cs="Times New Roman"/>
          <w:b w:val="0"/>
          <w:bCs w:val="0"/>
          <w:i/>
          <w:iCs/>
        </w:rPr>
        <w:fldChar w:fldCharType="begin" w:fldLock="1"/>
      </w:r>
      <w:r w:rsidRPr="007A1986">
        <w:rPr>
          <w:rFonts w:cs="Times New Roman"/>
          <w:b w:val="0"/>
          <w:bCs w:val="0"/>
          <w:i/>
          <w:iCs/>
        </w:rPr>
        <w:instrText>ADDIN CSL_CITATION {"citationItems":[{"id":"ITEM-1","itemData":{"author":[{"dropping-particle":"","family":"Databoks katadata","given":"","non-dropping-particle":"","parse-names":false,"suffix":""}],"id":"ITEM-1","issued":{"date-parts":[["2024"]]},"title":"Statistik adopsi infrastruktur pembayaran digital dan agregasi merchant QRIS nasional.","type":"article-journal"},"uris":["http://www.mendeley.com/documents/?uuid=8d9b1ddf-6438-43dc-93c6-4613b275134f"]}],"mendeley":{"formattedCitation":"(Databoks katadata, 2024)","manualFormatting":"Databoks katadata, 2024)","plainTextFormattedCitation":"(Databoks katadata, 2024)","previouslyFormattedCitation":"(Databoks katadata, 2024)"},"properties":{"noteIndex":0},"schema":"https://github.com/citation-style-language/schema/raw/master/csl-citation.json"}</w:instrText>
      </w:r>
      <w:r w:rsidRPr="007A1986">
        <w:rPr>
          <w:rFonts w:cs="Times New Roman"/>
          <w:b w:val="0"/>
          <w:bCs w:val="0"/>
          <w:i/>
          <w:iCs/>
        </w:rPr>
        <w:fldChar w:fldCharType="separate"/>
      </w:r>
      <w:r w:rsidRPr="007A1986">
        <w:rPr>
          <w:rFonts w:cs="Times New Roman"/>
          <w:b w:val="0"/>
          <w:bCs w:val="0"/>
          <w:i/>
          <w:iCs/>
          <w:noProof/>
        </w:rPr>
        <w:t>Databoks katadata, 2024)</w:t>
      </w:r>
      <w:r w:rsidRPr="007A1986">
        <w:rPr>
          <w:rFonts w:cs="Times New Roman"/>
          <w:b w:val="0"/>
          <w:bCs w:val="0"/>
          <w:i/>
          <w:iCs/>
        </w:rPr>
        <w:fldChar w:fldCharType="end"/>
      </w:r>
      <w:r w:rsidRPr="00BC6DFF">
        <w:rPr>
          <w:rFonts w:cs="Times New Roman"/>
          <w:b w:val="0"/>
          <w:bCs w:val="0"/>
        </w:rPr>
        <w:t>.</w:t>
      </w:r>
    </w:p>
    <w:p w14:paraId="23A41822" w14:textId="3E0EAC44" w:rsidR="00744CFB" w:rsidRPr="00114931" w:rsidRDefault="00715989" w:rsidP="00114931">
      <w:pPr>
        <w:pStyle w:val="Heading2"/>
        <w:spacing w:before="0" w:after="0"/>
      </w:pPr>
      <w:r w:rsidRPr="00114931">
        <w:t>3.3 Analytical Procedures</w:t>
      </w:r>
    </w:p>
    <w:p w14:paraId="693E883F" w14:textId="6A9361E1" w:rsidR="008D57A7" w:rsidRDefault="002C2C33" w:rsidP="00114931">
      <w:pPr>
        <w:spacing w:after="0"/>
        <w:ind w:left="360"/>
        <w:jc w:val="both"/>
        <w:rPr>
          <w:rFonts w:eastAsia="Times New Roman" w:cs="Times New Roman"/>
          <w:szCs w:val="24"/>
        </w:rPr>
      </w:pPr>
      <w:r w:rsidRPr="00611403">
        <w:rPr>
          <w:rFonts w:eastAsia="Times New Roman" w:cs="Times New Roman"/>
          <w:szCs w:val="24"/>
        </w:rPr>
        <w:t>The analysis follows six procedures. First, the study describes national trends in QRIS merchants, financial literacy, financial inclusion, MSME credit, and MSME counts. Second, year-on-year growth rates are calculated to identify acceleration, deceleration, and discontinuities in each indicator. The growth rate is computed as shown in Equation (1)</w:t>
      </w:r>
      <w:r w:rsidR="00B05402">
        <w:rPr>
          <w:rFonts w:eastAsia="Times New Roman" w:cs="Times New Roman"/>
          <w:szCs w:val="24"/>
        </w:rPr>
        <w:t xml:space="preserve"> </w:t>
      </w:r>
      <w:r w:rsidR="00B05402" w:rsidRPr="00B05402">
        <w:rPr>
          <w:rFonts w:eastAsia="Times New Roman" w:cs="Times New Roman"/>
          <w:szCs w:val="24"/>
        </w:rPr>
        <w:t>following the standard relative change approach outlined by</w:t>
      </w:r>
      <w:r w:rsidR="00B05402">
        <w:rPr>
          <w:rFonts w:eastAsia="Times New Roman" w:cs="Times New Roman"/>
          <w:szCs w:val="24"/>
        </w:rPr>
        <w:t xml:space="preserve"> </w:t>
      </w:r>
      <w:r w:rsidR="00B05402">
        <w:rPr>
          <w:rFonts w:eastAsia="Times New Roman" w:cs="Times New Roman"/>
          <w:szCs w:val="24"/>
        </w:rPr>
        <w:fldChar w:fldCharType="begin" w:fldLock="1"/>
      </w:r>
      <w:r w:rsidR="0067450E">
        <w:rPr>
          <w:rFonts w:eastAsia="Times New Roman" w:cs="Times New Roman"/>
          <w:szCs w:val="24"/>
        </w:rPr>
        <w:instrText>ADDIN CSL_CITATION {"citationItems":[{"id":"ITEM-1","itemData":{"ISBN":"0071276254; 9780071276252","author":[{"dropping-particle":"","family":"Damodar N. Gujarati","given":"Dawn C. Porter","non-dropping-particle":"","parse-names":false,"suffix":""}],"container-title":"McGraw-Hill Irwin","edition":"Fourth Edi","id":"ITEM-1","issued":{"date-parts":[["2009"]]},"page":"922","publisher-place":"United States Military Academy, West Point","title":"Basic Econometrics","type":"chapter"},"uris":["http://www.mendeley.com/documents/?uuid=6396d1fe-c256-400e-9efc-45dc558692dd"]}],"mendeley":{"formattedCitation":"(Damodar N. Gujarati, 2009)","manualFormatting":"Damodar N. Gujarati, 2009","plainTextFormattedCitation":"(Damodar N. Gujarati, 2009)","previouslyFormattedCitation":"(Damodar N. Gujarati, 2009)"},"properties":{"noteIndex":0},"schema":"https://github.com/citation-style-language/schema/raw/master/csl-citation.json"}</w:instrText>
      </w:r>
      <w:r w:rsidR="00B05402">
        <w:rPr>
          <w:rFonts w:eastAsia="Times New Roman" w:cs="Times New Roman"/>
          <w:szCs w:val="24"/>
        </w:rPr>
        <w:fldChar w:fldCharType="separate"/>
      </w:r>
      <w:r w:rsidR="00B05402" w:rsidRPr="00B05402">
        <w:rPr>
          <w:rFonts w:eastAsia="Times New Roman" w:cs="Times New Roman"/>
          <w:noProof/>
          <w:szCs w:val="24"/>
        </w:rPr>
        <w:t>Damodar N. Gujarati, 2009</w:t>
      </w:r>
      <w:r w:rsidR="00B05402">
        <w:rPr>
          <w:rFonts w:eastAsia="Times New Roman" w:cs="Times New Roman"/>
          <w:szCs w:val="24"/>
        </w:rPr>
        <w:fldChar w:fldCharType="end"/>
      </w:r>
      <w:r w:rsidR="00B05402">
        <w:rPr>
          <w:rFonts w:eastAsia="Times New Roman" w:cs="Times New Roman"/>
          <w:szCs w:val="24"/>
        </w:rPr>
        <w:t xml:space="preserve"> :</w:t>
      </w:r>
    </w:p>
    <w:tbl>
      <w:tblPr>
        <w:tblW w:w="0" w:type="auto"/>
        <w:tblBorders>
          <w:top w:val="nil"/>
          <w:left w:val="nil"/>
          <w:bottom w:val="nil"/>
          <w:right w:val="nil"/>
          <w:insideH w:val="nil"/>
          <w:insideV w:val="nil"/>
        </w:tblBorders>
        <w:tblLook w:val="04A0" w:firstRow="1" w:lastRow="0" w:firstColumn="1" w:lastColumn="0" w:noHBand="0" w:noVBand="1"/>
      </w:tblPr>
      <w:tblGrid>
        <w:gridCol w:w="7662"/>
        <w:gridCol w:w="842"/>
      </w:tblGrid>
      <w:tr w:rsidR="008D57A7" w:rsidRPr="00611403" w14:paraId="15B5EAB5" w14:textId="77777777" w:rsidTr="002E0667">
        <w:tc>
          <w:tcPr>
            <w:tcW w:w="7662" w:type="dxa"/>
          </w:tcPr>
          <w:p w14:paraId="1EFDC60F" w14:textId="77777777" w:rsidR="008D57A7" w:rsidRPr="00611403" w:rsidRDefault="00000000" w:rsidP="00446304">
            <w:pPr>
              <w:spacing w:after="0"/>
              <w:jc w:val="both"/>
              <w:rPr>
                <w:rFonts w:cs="Times New Roman"/>
                <w:szCs w:val="24"/>
              </w:rPr>
            </w:pPr>
            <m:oMathPara>
              <m:oMathParaPr>
                <m:jc m:val="center"/>
              </m:oMathParaPr>
              <m:oMath>
                <m:sSub>
                  <m:sSubPr>
                    <m:ctrlPr>
                      <w:rPr>
                        <w:rFonts w:ascii="Cambria Math" w:hAnsi="Cambria Math" w:cs="Times New Roman"/>
                        <w:sz w:val="22"/>
                      </w:rPr>
                    </m:ctrlPr>
                  </m:sSubPr>
                  <m:e>
                    <m:r>
                      <w:rPr>
                        <w:rFonts w:ascii="Cambria Math" w:eastAsia="Cambria Math" w:hAnsi="Cambria Math" w:cs="Times New Roman"/>
                        <w:sz w:val="22"/>
                      </w:rPr>
                      <m:t>g</m:t>
                    </m:r>
                  </m:e>
                  <m:sub>
                    <m:r>
                      <w:rPr>
                        <w:rFonts w:ascii="Cambria Math" w:eastAsia="Cambria Math" w:hAnsi="Cambria Math" w:cs="Times New Roman"/>
                        <w:sz w:val="22"/>
                      </w:rPr>
                      <m:t>t</m:t>
                    </m:r>
                  </m:sub>
                </m:sSub>
                <m:r>
                  <m:rPr>
                    <m:sty m:val="p"/>
                  </m:rPr>
                  <w:rPr>
                    <w:rFonts w:ascii="Cambria Math" w:eastAsia="Cambria Math" w:hAnsi="Cambria Math" w:cs="Times New Roman"/>
                    <w:sz w:val="22"/>
                  </w:rPr>
                  <m:t>=</m:t>
                </m:r>
                <m:f>
                  <m:fPr>
                    <m:ctrlPr>
                      <w:rPr>
                        <w:rFonts w:ascii="Cambria Math" w:hAnsi="Cambria Math" w:cs="Times New Roman"/>
                        <w:sz w:val="22"/>
                      </w:rPr>
                    </m:ctrlPr>
                  </m:fPr>
                  <m:num>
                    <m:sSub>
                      <m:sSubPr>
                        <m:ctrlPr>
                          <w:rPr>
                            <w:rFonts w:ascii="Cambria Math" w:hAnsi="Cambria Math" w:cs="Times New Roman"/>
                            <w:sz w:val="22"/>
                          </w:rPr>
                        </m:ctrlPr>
                      </m:sSubPr>
                      <m:e>
                        <m:r>
                          <w:rPr>
                            <w:rFonts w:ascii="Cambria Math" w:eastAsia="Cambria Math" w:hAnsi="Cambria Math" w:cs="Times New Roman"/>
                            <w:sz w:val="22"/>
                          </w:rPr>
                          <m:t>X</m:t>
                        </m:r>
                      </m:e>
                      <m:sub>
                        <m:r>
                          <w:rPr>
                            <w:rFonts w:ascii="Cambria Math" w:eastAsia="Cambria Math" w:hAnsi="Cambria Math" w:cs="Times New Roman"/>
                            <w:sz w:val="22"/>
                          </w:rPr>
                          <m:t>t</m:t>
                        </m:r>
                      </m:sub>
                    </m:sSub>
                    <m:r>
                      <m:rPr>
                        <m:sty m:val="p"/>
                      </m:rPr>
                      <w:rPr>
                        <w:rFonts w:ascii="Cambria Math" w:eastAsia="Cambria Math" w:hAnsi="Cambria Math" w:cs="Times New Roman"/>
                        <w:sz w:val="22"/>
                      </w:rPr>
                      <m:t>-</m:t>
                    </m:r>
                    <m:sSub>
                      <m:sSubPr>
                        <m:ctrlPr>
                          <w:rPr>
                            <w:rFonts w:ascii="Cambria Math" w:hAnsi="Cambria Math" w:cs="Times New Roman"/>
                            <w:sz w:val="22"/>
                          </w:rPr>
                        </m:ctrlPr>
                      </m:sSubPr>
                      <m:e>
                        <m:r>
                          <w:rPr>
                            <w:rFonts w:ascii="Cambria Math" w:eastAsia="Cambria Math" w:hAnsi="Cambria Math" w:cs="Times New Roman"/>
                            <w:sz w:val="22"/>
                          </w:rPr>
                          <m:t>X</m:t>
                        </m:r>
                      </m:e>
                      <m:sub>
                        <m:r>
                          <w:rPr>
                            <w:rFonts w:ascii="Cambria Math" w:eastAsia="Cambria Math" w:hAnsi="Cambria Math" w:cs="Times New Roman"/>
                            <w:sz w:val="22"/>
                          </w:rPr>
                          <m:t>t</m:t>
                        </m:r>
                        <m:r>
                          <m:rPr>
                            <m:sty m:val="p"/>
                          </m:rPr>
                          <w:rPr>
                            <w:rFonts w:ascii="Cambria Math" w:eastAsia="Cambria Math" w:hAnsi="Cambria Math" w:cs="Times New Roman"/>
                            <w:sz w:val="22"/>
                          </w:rPr>
                          <m:t>-</m:t>
                        </m:r>
                        <m:r>
                          <w:rPr>
                            <w:rFonts w:ascii="Cambria Math" w:eastAsia="Cambria Math" w:hAnsi="Cambria Math" w:cs="Times New Roman"/>
                            <w:sz w:val="22"/>
                          </w:rPr>
                          <m:t>1</m:t>
                        </m:r>
                      </m:sub>
                    </m:sSub>
                  </m:num>
                  <m:den>
                    <m:sSub>
                      <m:sSubPr>
                        <m:ctrlPr>
                          <w:rPr>
                            <w:rFonts w:ascii="Cambria Math" w:hAnsi="Cambria Math" w:cs="Times New Roman"/>
                            <w:sz w:val="22"/>
                          </w:rPr>
                        </m:ctrlPr>
                      </m:sSubPr>
                      <m:e>
                        <m:r>
                          <w:rPr>
                            <w:rFonts w:ascii="Cambria Math" w:eastAsia="Cambria Math" w:hAnsi="Cambria Math" w:cs="Times New Roman"/>
                            <w:sz w:val="22"/>
                          </w:rPr>
                          <m:t>X</m:t>
                        </m:r>
                      </m:e>
                      <m:sub>
                        <m:r>
                          <w:rPr>
                            <w:rFonts w:ascii="Cambria Math" w:eastAsia="Cambria Math" w:hAnsi="Cambria Math" w:cs="Times New Roman"/>
                            <w:sz w:val="22"/>
                          </w:rPr>
                          <m:t>t</m:t>
                        </m:r>
                        <m:r>
                          <m:rPr>
                            <m:sty m:val="p"/>
                          </m:rPr>
                          <w:rPr>
                            <w:rFonts w:ascii="Cambria Math" w:eastAsia="Cambria Math" w:hAnsi="Cambria Math" w:cs="Times New Roman"/>
                            <w:sz w:val="22"/>
                          </w:rPr>
                          <m:t>-</m:t>
                        </m:r>
                        <m:r>
                          <w:rPr>
                            <w:rFonts w:ascii="Cambria Math" w:eastAsia="Cambria Math" w:hAnsi="Cambria Math" w:cs="Times New Roman"/>
                            <w:sz w:val="22"/>
                          </w:rPr>
                          <m:t>1</m:t>
                        </m:r>
                      </m:sub>
                    </m:sSub>
                  </m:den>
                </m:f>
                <m:r>
                  <m:rPr>
                    <m:sty m:val="p"/>
                  </m:rPr>
                  <w:rPr>
                    <w:rFonts w:ascii="Cambria Math" w:eastAsia="Cambria Math" w:hAnsi="Cambria Math" w:cs="Times New Roman"/>
                    <w:sz w:val="22"/>
                  </w:rPr>
                  <m:t>×</m:t>
                </m:r>
                <m:r>
                  <w:rPr>
                    <w:rFonts w:ascii="Cambria Math" w:eastAsia="Cambria Math" w:hAnsi="Cambria Math" w:cs="Times New Roman"/>
                    <w:sz w:val="22"/>
                  </w:rPr>
                  <m:t>100</m:t>
                </m:r>
              </m:oMath>
            </m:oMathPara>
          </w:p>
        </w:tc>
        <w:tc>
          <w:tcPr>
            <w:tcW w:w="842" w:type="dxa"/>
          </w:tcPr>
          <w:p w14:paraId="08A3F9E1" w14:textId="77777777" w:rsidR="008D57A7" w:rsidRPr="00611403" w:rsidRDefault="002C2C33" w:rsidP="00446304">
            <w:pPr>
              <w:spacing w:after="0"/>
              <w:jc w:val="both"/>
              <w:rPr>
                <w:rFonts w:cs="Times New Roman"/>
                <w:szCs w:val="24"/>
              </w:rPr>
            </w:pPr>
            <w:r w:rsidRPr="00611403">
              <w:rPr>
                <w:rFonts w:eastAsia="Times New Roman" w:cs="Times New Roman"/>
                <w:szCs w:val="24"/>
              </w:rPr>
              <w:t>(1)</w:t>
            </w:r>
          </w:p>
        </w:tc>
      </w:tr>
    </w:tbl>
    <w:p w14:paraId="11F6200A" w14:textId="77777777" w:rsidR="007C0B83" w:rsidRDefault="007C0B83" w:rsidP="00D034F6">
      <w:pPr>
        <w:spacing w:after="0"/>
        <w:ind w:left="360"/>
        <w:jc w:val="both"/>
        <w:rPr>
          <w:rFonts w:eastAsia="Times New Roman" w:cs="Times New Roman"/>
          <w:szCs w:val="24"/>
        </w:rPr>
      </w:pPr>
    </w:p>
    <w:p w14:paraId="7EF9DD8B" w14:textId="015E191D" w:rsidR="008D57A7" w:rsidRDefault="002C2C33" w:rsidP="00D034F6">
      <w:pPr>
        <w:spacing w:after="0"/>
        <w:ind w:left="360"/>
        <w:jc w:val="both"/>
        <w:rPr>
          <w:rFonts w:eastAsia="Times New Roman" w:cs="Times New Roman"/>
          <w:szCs w:val="24"/>
        </w:rPr>
      </w:pPr>
      <w:r w:rsidRPr="00611403">
        <w:rPr>
          <w:rFonts w:eastAsia="Times New Roman" w:cs="Times New Roman"/>
          <w:szCs w:val="24"/>
        </w:rPr>
        <w:t xml:space="preserve">In Equation (1), </w:t>
      </w:r>
      <m:oMath>
        <m:sSub>
          <m:sSubPr>
            <m:ctrlPr>
              <w:rPr>
                <w:rFonts w:ascii="Cambria Math" w:hAnsi="Cambria Math" w:cs="Times New Roman"/>
                <w:sz w:val="22"/>
              </w:rPr>
            </m:ctrlPr>
          </m:sSubPr>
          <m:e>
            <m:r>
              <w:rPr>
                <w:rFonts w:ascii="Cambria Math" w:eastAsia="Cambria Math" w:hAnsi="Cambria Math" w:cs="Times New Roman"/>
                <w:sz w:val="22"/>
              </w:rPr>
              <m:t>g</m:t>
            </m:r>
          </m:e>
          <m:sub>
            <m:r>
              <w:rPr>
                <w:rFonts w:ascii="Cambria Math" w:eastAsia="Cambria Math" w:hAnsi="Cambria Math" w:cs="Times New Roman"/>
                <w:sz w:val="22"/>
              </w:rPr>
              <m:t>t</m:t>
            </m:r>
          </m:sub>
        </m:sSub>
      </m:oMath>
      <w:r w:rsidRPr="00D034F6">
        <w:rPr>
          <w:rFonts w:eastAsia="Times New Roman" w:cs="Times New Roman"/>
          <w:sz w:val="32"/>
          <w:szCs w:val="32"/>
          <w:vertAlign w:val="subscript"/>
        </w:rPr>
        <w:t xml:space="preserve"> </w:t>
      </w:r>
      <w:r w:rsidRPr="00611403">
        <w:rPr>
          <w:rFonts w:eastAsia="Times New Roman" w:cs="Times New Roman"/>
          <w:szCs w:val="24"/>
        </w:rPr>
        <w:t xml:space="preserve">denotes year-on-year growth, </w:t>
      </w:r>
      <m:oMath>
        <m:sSub>
          <m:sSubPr>
            <m:ctrlPr>
              <w:rPr>
                <w:rFonts w:ascii="Cambria Math" w:hAnsi="Cambria Math" w:cs="Times New Roman"/>
                <w:sz w:val="22"/>
              </w:rPr>
            </m:ctrlPr>
          </m:sSubPr>
          <m:e>
            <m:r>
              <w:rPr>
                <w:rFonts w:ascii="Cambria Math" w:eastAsia="Cambria Math" w:hAnsi="Cambria Math" w:cs="Times New Roman"/>
                <w:sz w:val="22"/>
              </w:rPr>
              <m:t>X</m:t>
            </m:r>
          </m:e>
          <m:sub>
            <m:r>
              <w:rPr>
                <w:rFonts w:ascii="Cambria Math" w:eastAsia="Cambria Math" w:hAnsi="Cambria Math" w:cs="Times New Roman"/>
                <w:sz w:val="22"/>
              </w:rPr>
              <m:t>t</m:t>
            </m:r>
          </m:sub>
        </m:sSub>
      </m:oMath>
      <w:r w:rsidRPr="00611403">
        <w:rPr>
          <w:rFonts w:eastAsia="Times New Roman" w:cs="Times New Roman"/>
          <w:szCs w:val="24"/>
        </w:rPr>
        <w:t xml:space="preserve"> denotes the value of an indicator in year t, and </w:t>
      </w:r>
      <m:oMath>
        <m:sSub>
          <m:sSubPr>
            <m:ctrlPr>
              <w:rPr>
                <w:rFonts w:ascii="Cambria Math" w:hAnsi="Cambria Math" w:cs="Times New Roman"/>
                <w:sz w:val="22"/>
              </w:rPr>
            </m:ctrlPr>
          </m:sSubPr>
          <m:e>
            <m:r>
              <w:rPr>
                <w:rFonts w:ascii="Cambria Math" w:eastAsia="Cambria Math" w:hAnsi="Cambria Math" w:cs="Times New Roman"/>
                <w:sz w:val="22"/>
              </w:rPr>
              <m:t>X</m:t>
            </m:r>
          </m:e>
          <m:sub>
            <m:r>
              <w:rPr>
                <w:rFonts w:ascii="Cambria Math" w:eastAsia="Cambria Math" w:hAnsi="Cambria Math" w:cs="Times New Roman"/>
                <w:sz w:val="22"/>
              </w:rPr>
              <m:t>t</m:t>
            </m:r>
            <m:r>
              <m:rPr>
                <m:sty m:val="p"/>
              </m:rPr>
              <w:rPr>
                <w:rFonts w:ascii="Cambria Math" w:eastAsia="Cambria Math" w:hAnsi="Cambria Math" w:cs="Times New Roman"/>
                <w:sz w:val="22"/>
              </w:rPr>
              <m:t>-</m:t>
            </m:r>
            <m:r>
              <w:rPr>
                <w:rFonts w:ascii="Cambria Math" w:eastAsia="Cambria Math" w:hAnsi="Cambria Math" w:cs="Times New Roman"/>
                <w:sz w:val="22"/>
              </w:rPr>
              <m:t>1</m:t>
            </m:r>
          </m:sub>
        </m:sSub>
      </m:oMath>
      <w:r w:rsidRPr="00D034F6">
        <w:rPr>
          <w:rFonts w:eastAsia="Times New Roman" w:cs="Times New Roman"/>
          <w:sz w:val="32"/>
          <w:szCs w:val="32"/>
          <w:vertAlign w:val="subscript"/>
        </w:rPr>
        <w:t xml:space="preserve"> </w:t>
      </w:r>
      <w:r w:rsidRPr="00611403">
        <w:rPr>
          <w:rFonts w:eastAsia="Times New Roman" w:cs="Times New Roman"/>
          <w:szCs w:val="24"/>
        </w:rPr>
        <w:t>denotes its value in the previous year. Third, Pearson correlation is used to measure the exploratory association between QRIS merchants and selected national indicators. The coefficient is calculated using Equation (2)</w:t>
      </w:r>
      <w:r w:rsidR="0067450E">
        <w:rPr>
          <w:rFonts w:eastAsia="Times New Roman" w:cs="Times New Roman"/>
          <w:szCs w:val="24"/>
        </w:rPr>
        <w:t xml:space="preserve"> </w:t>
      </w:r>
      <w:r w:rsidR="0067450E" w:rsidRPr="0067450E">
        <w:rPr>
          <w:rFonts w:eastAsia="Times New Roman" w:cs="Times New Roman"/>
          <w:szCs w:val="24"/>
        </w:rPr>
        <w:t>consistent with Multivariate Data Analysis procedures defined by</w:t>
      </w:r>
      <w:r w:rsidR="0067450E">
        <w:rPr>
          <w:rFonts w:eastAsia="Times New Roman" w:cs="Times New Roman"/>
          <w:szCs w:val="24"/>
        </w:rPr>
        <w:t xml:space="preserve"> </w:t>
      </w:r>
      <w:r w:rsidR="0067450E" w:rsidRPr="0067450E">
        <w:rPr>
          <w:rFonts w:eastAsia="Times New Roman" w:cs="Times New Roman"/>
          <w:szCs w:val="24"/>
        </w:rPr>
        <w:t xml:space="preserve"> </w:t>
      </w:r>
      <w:r w:rsidR="0067450E">
        <w:rPr>
          <w:rFonts w:eastAsia="Times New Roman" w:cs="Times New Roman"/>
          <w:szCs w:val="24"/>
        </w:rPr>
        <w:fldChar w:fldCharType="begin" w:fldLock="1"/>
      </w:r>
      <w:r w:rsidR="004E2211">
        <w:rPr>
          <w:rFonts w:eastAsia="Times New Roman" w:cs="Times New Roman"/>
          <w:szCs w:val="24"/>
        </w:rPr>
        <w:instrText>ADDIN CSL_CITATION {"citationItems":[{"id":"ITEM-1","itemData":{"ISBN":"978-1-4737-5654-0","author":[{"dropping-particle":"","family":"Joseph F Hair, Barry J. Babin, Rolph E. Anderson","given":"William C. Black","non-dropping-particle":"","parse-names":false,"suffix":""}],"container-title":"Cengage Learning","edition":"8th ed","id":"ITEM-1","issued":{"date-parts":[["2022"]]},"page":"832","publisher-place":"United Kingdom","title":"Multivariate Data Analysis","type":"chapter"},"uris":["http://www.mendeley.com/documents/?uuid=9c063be6-28e0-43d4-9992-c84d4913c212"]}],"mendeley":{"formattedCitation":"(Joseph F Hair, Barry J. Babin, Rolph E. Anderson, 2022)","manualFormatting":"Joseph F Hair, Barry J. Babin, Rolph E. Anderson, 2022","plainTextFormattedCitation":"(Joseph F Hair, Barry J. Babin, Rolph E. Anderson, 2022)","previouslyFormattedCitation":"(Joseph F Hair, Barry J. Babin, Rolph E. Anderson, 2022)"},"properties":{"noteIndex":0},"schema":"https://github.com/citation-style-language/schema/raw/master/csl-citation.json"}</w:instrText>
      </w:r>
      <w:r w:rsidR="0067450E">
        <w:rPr>
          <w:rFonts w:eastAsia="Times New Roman" w:cs="Times New Roman"/>
          <w:szCs w:val="24"/>
        </w:rPr>
        <w:fldChar w:fldCharType="separate"/>
      </w:r>
      <w:r w:rsidR="0067450E" w:rsidRPr="0067450E">
        <w:rPr>
          <w:rFonts w:eastAsia="Times New Roman" w:cs="Times New Roman"/>
          <w:noProof/>
          <w:szCs w:val="24"/>
        </w:rPr>
        <w:t>Joseph F Hair, Barry J. Babin, Rolph E. Anderson, 2022</w:t>
      </w:r>
      <w:r w:rsidR="0067450E">
        <w:rPr>
          <w:rFonts w:eastAsia="Times New Roman" w:cs="Times New Roman"/>
          <w:szCs w:val="24"/>
        </w:rPr>
        <w:fldChar w:fldCharType="end"/>
      </w:r>
      <w:r w:rsidR="0067450E">
        <w:rPr>
          <w:rFonts w:eastAsia="Times New Roman" w:cs="Times New Roman"/>
          <w:szCs w:val="24"/>
        </w:rPr>
        <w:t xml:space="preserve"> :</w:t>
      </w:r>
    </w:p>
    <w:tbl>
      <w:tblPr>
        <w:tblW w:w="0" w:type="auto"/>
        <w:tblBorders>
          <w:top w:val="nil"/>
          <w:left w:val="nil"/>
          <w:bottom w:val="nil"/>
          <w:right w:val="nil"/>
          <w:insideH w:val="nil"/>
          <w:insideV w:val="nil"/>
        </w:tblBorders>
        <w:tblLook w:val="04A0" w:firstRow="1" w:lastRow="0" w:firstColumn="1" w:lastColumn="0" w:noHBand="0" w:noVBand="1"/>
      </w:tblPr>
      <w:tblGrid>
        <w:gridCol w:w="7671"/>
        <w:gridCol w:w="833"/>
      </w:tblGrid>
      <w:tr w:rsidR="008D57A7" w:rsidRPr="00611403" w14:paraId="715F2421" w14:textId="77777777" w:rsidTr="002E0667">
        <w:tc>
          <w:tcPr>
            <w:tcW w:w="7671" w:type="dxa"/>
          </w:tcPr>
          <w:p w14:paraId="52B51BC0" w14:textId="77777777" w:rsidR="008D57A7" w:rsidRPr="009352F1" w:rsidRDefault="00000000" w:rsidP="00446304">
            <w:pPr>
              <w:spacing w:after="0"/>
              <w:jc w:val="both"/>
              <w:rPr>
                <w:rFonts w:cs="Times New Roman"/>
                <w:sz w:val="22"/>
              </w:rPr>
            </w:pPr>
            <m:oMathPara>
              <m:oMathParaPr>
                <m:jc m:val="center"/>
              </m:oMathParaPr>
              <m:oMath>
                <m:sSub>
                  <m:sSubPr>
                    <m:ctrlPr>
                      <w:rPr>
                        <w:rFonts w:ascii="Cambria Math" w:hAnsi="Cambria Math" w:cs="Times New Roman"/>
                        <w:sz w:val="22"/>
                      </w:rPr>
                    </m:ctrlPr>
                  </m:sSubPr>
                  <m:e>
                    <m:r>
                      <w:rPr>
                        <w:rFonts w:ascii="Cambria Math" w:eastAsia="Cambria Math" w:hAnsi="Cambria Math" w:cs="Times New Roman"/>
                        <w:sz w:val="22"/>
                      </w:rPr>
                      <m:t>r</m:t>
                    </m:r>
                  </m:e>
                  <m:sub>
                    <m:r>
                      <w:rPr>
                        <w:rFonts w:ascii="Cambria Math" w:eastAsia="Cambria Math" w:hAnsi="Cambria Math" w:cs="Times New Roman"/>
                        <w:sz w:val="22"/>
                      </w:rPr>
                      <m:t>xy</m:t>
                    </m:r>
                  </m:sub>
                </m:sSub>
                <m:r>
                  <m:rPr>
                    <m:sty m:val="p"/>
                  </m:rPr>
                  <w:rPr>
                    <w:rFonts w:ascii="Cambria Math" w:eastAsia="Cambria Math" w:hAnsi="Cambria Math" w:cs="Times New Roman"/>
                    <w:sz w:val="22"/>
                  </w:rPr>
                  <m:t>=</m:t>
                </m:r>
                <m:f>
                  <m:fPr>
                    <m:ctrlPr>
                      <w:rPr>
                        <w:rFonts w:ascii="Cambria Math" w:hAnsi="Cambria Math" w:cs="Times New Roman"/>
                        <w:sz w:val="22"/>
                      </w:rPr>
                    </m:ctrlPr>
                  </m:fPr>
                  <m:num>
                    <m:nary>
                      <m:naryPr>
                        <m:chr m:val="∑"/>
                        <m:limLoc m:val="undOvr"/>
                        <m:ctrlPr>
                          <w:rPr>
                            <w:rFonts w:ascii="Cambria Math" w:hAnsi="Cambria Math" w:cs="Times New Roman"/>
                            <w:sz w:val="22"/>
                          </w:rPr>
                        </m:ctrlPr>
                      </m:naryPr>
                      <m:sub>
                        <m:r>
                          <w:rPr>
                            <w:rFonts w:ascii="Cambria Math" w:eastAsia="Cambria Math" w:hAnsi="Cambria Math" w:cs="Times New Roman"/>
                            <w:sz w:val="22"/>
                          </w:rPr>
                          <m:t>i</m:t>
                        </m:r>
                        <m:r>
                          <m:rPr>
                            <m:sty m:val="p"/>
                          </m:rPr>
                          <w:rPr>
                            <w:rFonts w:ascii="Cambria Math" w:eastAsia="Cambria Math" w:hAnsi="Cambria Math" w:cs="Times New Roman"/>
                            <w:sz w:val="22"/>
                          </w:rPr>
                          <m:t>=</m:t>
                        </m:r>
                        <m:r>
                          <w:rPr>
                            <w:rFonts w:ascii="Cambria Math" w:eastAsia="Cambria Math" w:hAnsi="Cambria Math" w:cs="Times New Roman"/>
                            <w:sz w:val="22"/>
                          </w:rPr>
                          <m:t>1</m:t>
                        </m:r>
                      </m:sub>
                      <m:sup>
                        <m:r>
                          <w:rPr>
                            <w:rFonts w:ascii="Cambria Math" w:eastAsia="Cambria Math" w:hAnsi="Cambria Math" w:cs="Times New Roman"/>
                            <w:sz w:val="22"/>
                          </w:rPr>
                          <m:t>n</m:t>
                        </m:r>
                      </m:sup>
                      <m:e>
                        <m:d>
                          <m:dPr>
                            <m:ctrlPr>
                              <w:rPr>
                                <w:rFonts w:ascii="Cambria Math" w:hAnsi="Cambria Math" w:cs="Times New Roman"/>
                                <w:sz w:val="22"/>
                              </w:rPr>
                            </m:ctrlPr>
                          </m:dPr>
                          <m:e>
                            <m:sSub>
                              <m:sSubPr>
                                <m:ctrlPr>
                                  <w:rPr>
                                    <w:rFonts w:ascii="Cambria Math" w:hAnsi="Cambria Math" w:cs="Times New Roman"/>
                                    <w:sz w:val="22"/>
                                  </w:rPr>
                                </m:ctrlPr>
                              </m:sSubPr>
                              <m:e>
                                <m:r>
                                  <w:rPr>
                                    <w:rFonts w:ascii="Cambria Math" w:eastAsia="Cambria Math" w:hAnsi="Cambria Math" w:cs="Times New Roman"/>
                                    <w:sz w:val="22"/>
                                  </w:rPr>
                                  <m:t>x</m:t>
                                </m:r>
                              </m:e>
                              <m:sub>
                                <m:r>
                                  <w:rPr>
                                    <w:rFonts w:ascii="Cambria Math" w:eastAsia="Cambria Math" w:hAnsi="Cambria Math" w:cs="Times New Roman"/>
                                    <w:sz w:val="22"/>
                                  </w:rPr>
                                  <m:t>i</m:t>
                                </m:r>
                              </m:sub>
                            </m:sSub>
                            <m:r>
                              <m:rPr>
                                <m:sty m:val="p"/>
                              </m:rPr>
                              <w:rPr>
                                <w:rFonts w:ascii="Cambria Math" w:eastAsia="Cambria Math" w:hAnsi="Cambria Math" w:cs="Times New Roman"/>
                                <w:sz w:val="22"/>
                              </w:rPr>
                              <m:t>-</m:t>
                            </m:r>
                            <m:sSub>
                              <m:sSubPr>
                                <m:ctrlPr>
                                  <w:rPr>
                                    <w:rFonts w:ascii="Cambria Math" w:hAnsi="Cambria Math" w:cs="Times New Roman"/>
                                    <w:sz w:val="22"/>
                                  </w:rPr>
                                </m:ctrlPr>
                              </m:sSubPr>
                              <m:e>
                                <m:r>
                                  <w:rPr>
                                    <w:rFonts w:ascii="Cambria Math" w:eastAsia="Cambria Math" w:hAnsi="Cambria Math" w:cs="Times New Roman"/>
                                    <w:sz w:val="22"/>
                                  </w:rPr>
                                  <m:t>μ</m:t>
                                </m:r>
                              </m:e>
                              <m:sub>
                                <m:r>
                                  <w:rPr>
                                    <w:rFonts w:ascii="Cambria Math" w:eastAsia="Cambria Math" w:hAnsi="Cambria Math" w:cs="Times New Roman"/>
                                    <w:sz w:val="22"/>
                                  </w:rPr>
                                  <m:t>x</m:t>
                                </m:r>
                              </m:sub>
                            </m:sSub>
                          </m:e>
                        </m:d>
                      </m:e>
                    </m:nary>
                    <m:d>
                      <m:dPr>
                        <m:ctrlPr>
                          <w:rPr>
                            <w:rFonts w:ascii="Cambria Math" w:hAnsi="Cambria Math" w:cs="Times New Roman"/>
                            <w:sz w:val="22"/>
                          </w:rPr>
                        </m:ctrlPr>
                      </m:dPr>
                      <m:e>
                        <m:sSub>
                          <m:sSubPr>
                            <m:ctrlPr>
                              <w:rPr>
                                <w:rFonts w:ascii="Cambria Math" w:hAnsi="Cambria Math" w:cs="Times New Roman"/>
                                <w:sz w:val="22"/>
                              </w:rPr>
                            </m:ctrlPr>
                          </m:sSubPr>
                          <m:e>
                            <m:r>
                              <w:rPr>
                                <w:rFonts w:ascii="Cambria Math" w:eastAsia="Cambria Math" w:hAnsi="Cambria Math" w:cs="Times New Roman"/>
                                <w:sz w:val="22"/>
                              </w:rPr>
                              <m:t>y</m:t>
                            </m:r>
                          </m:e>
                          <m:sub>
                            <m:r>
                              <w:rPr>
                                <w:rFonts w:ascii="Cambria Math" w:eastAsia="Cambria Math" w:hAnsi="Cambria Math" w:cs="Times New Roman"/>
                                <w:sz w:val="22"/>
                              </w:rPr>
                              <m:t>i</m:t>
                            </m:r>
                          </m:sub>
                        </m:sSub>
                        <m:r>
                          <m:rPr>
                            <m:sty m:val="p"/>
                          </m:rPr>
                          <w:rPr>
                            <w:rFonts w:ascii="Cambria Math" w:eastAsia="Cambria Math" w:hAnsi="Cambria Math" w:cs="Times New Roman"/>
                            <w:sz w:val="22"/>
                          </w:rPr>
                          <m:t>-</m:t>
                        </m:r>
                        <m:sSub>
                          <m:sSubPr>
                            <m:ctrlPr>
                              <w:rPr>
                                <w:rFonts w:ascii="Cambria Math" w:hAnsi="Cambria Math" w:cs="Times New Roman"/>
                                <w:sz w:val="22"/>
                              </w:rPr>
                            </m:ctrlPr>
                          </m:sSubPr>
                          <m:e>
                            <m:r>
                              <w:rPr>
                                <w:rFonts w:ascii="Cambria Math" w:eastAsia="Cambria Math" w:hAnsi="Cambria Math" w:cs="Times New Roman"/>
                                <w:sz w:val="22"/>
                              </w:rPr>
                              <m:t>μ</m:t>
                            </m:r>
                          </m:e>
                          <m:sub>
                            <m:r>
                              <w:rPr>
                                <w:rFonts w:ascii="Cambria Math" w:eastAsia="Cambria Math" w:hAnsi="Cambria Math" w:cs="Times New Roman"/>
                                <w:sz w:val="22"/>
                              </w:rPr>
                              <m:t>y</m:t>
                            </m:r>
                          </m:sub>
                        </m:sSub>
                      </m:e>
                    </m:d>
                  </m:num>
                  <m:den>
                    <m:rad>
                      <m:radPr>
                        <m:degHide m:val="1"/>
                        <m:ctrlPr>
                          <w:rPr>
                            <w:rFonts w:ascii="Cambria Math" w:hAnsi="Cambria Math" w:cs="Times New Roman"/>
                            <w:sz w:val="22"/>
                          </w:rPr>
                        </m:ctrlPr>
                      </m:radPr>
                      <m:deg/>
                      <m:e>
                        <m:nary>
                          <m:naryPr>
                            <m:chr m:val="∑"/>
                            <m:limLoc m:val="undOvr"/>
                            <m:ctrlPr>
                              <w:rPr>
                                <w:rFonts w:ascii="Cambria Math" w:hAnsi="Cambria Math" w:cs="Times New Roman"/>
                                <w:sz w:val="22"/>
                              </w:rPr>
                            </m:ctrlPr>
                          </m:naryPr>
                          <m:sub>
                            <m:r>
                              <w:rPr>
                                <w:rFonts w:ascii="Cambria Math" w:eastAsia="Cambria Math" w:hAnsi="Cambria Math" w:cs="Times New Roman"/>
                                <w:sz w:val="22"/>
                              </w:rPr>
                              <m:t>i</m:t>
                            </m:r>
                            <m:r>
                              <m:rPr>
                                <m:sty m:val="p"/>
                              </m:rPr>
                              <w:rPr>
                                <w:rFonts w:ascii="Cambria Math" w:eastAsia="Cambria Math" w:hAnsi="Cambria Math" w:cs="Times New Roman"/>
                                <w:sz w:val="22"/>
                              </w:rPr>
                              <m:t>=</m:t>
                            </m:r>
                            <m:r>
                              <w:rPr>
                                <w:rFonts w:ascii="Cambria Math" w:eastAsia="Cambria Math" w:hAnsi="Cambria Math" w:cs="Times New Roman"/>
                                <w:sz w:val="22"/>
                              </w:rPr>
                              <m:t>1</m:t>
                            </m:r>
                          </m:sub>
                          <m:sup>
                            <m:r>
                              <w:rPr>
                                <w:rFonts w:ascii="Cambria Math" w:eastAsia="Cambria Math" w:hAnsi="Cambria Math" w:cs="Times New Roman"/>
                                <w:sz w:val="22"/>
                              </w:rPr>
                              <m:t>n</m:t>
                            </m:r>
                          </m:sup>
                          <m:e>
                            <m:sSup>
                              <m:sSupPr>
                                <m:ctrlPr>
                                  <w:rPr>
                                    <w:rFonts w:ascii="Cambria Math" w:hAnsi="Cambria Math" w:cs="Times New Roman"/>
                                    <w:sz w:val="22"/>
                                  </w:rPr>
                                </m:ctrlPr>
                              </m:sSupPr>
                              <m:e>
                                <m:d>
                                  <m:dPr>
                                    <m:ctrlPr>
                                      <w:rPr>
                                        <w:rFonts w:ascii="Cambria Math" w:hAnsi="Cambria Math" w:cs="Times New Roman"/>
                                        <w:sz w:val="22"/>
                                      </w:rPr>
                                    </m:ctrlPr>
                                  </m:dPr>
                                  <m:e>
                                    <m:sSub>
                                      <m:sSubPr>
                                        <m:ctrlPr>
                                          <w:rPr>
                                            <w:rFonts w:ascii="Cambria Math" w:hAnsi="Cambria Math" w:cs="Times New Roman"/>
                                            <w:sz w:val="22"/>
                                          </w:rPr>
                                        </m:ctrlPr>
                                      </m:sSubPr>
                                      <m:e>
                                        <m:r>
                                          <w:rPr>
                                            <w:rFonts w:ascii="Cambria Math" w:eastAsia="Cambria Math" w:hAnsi="Cambria Math" w:cs="Times New Roman"/>
                                            <w:sz w:val="22"/>
                                          </w:rPr>
                                          <m:t>x</m:t>
                                        </m:r>
                                      </m:e>
                                      <m:sub>
                                        <m:r>
                                          <w:rPr>
                                            <w:rFonts w:ascii="Cambria Math" w:eastAsia="Cambria Math" w:hAnsi="Cambria Math" w:cs="Times New Roman"/>
                                            <w:sz w:val="22"/>
                                          </w:rPr>
                                          <m:t>i</m:t>
                                        </m:r>
                                      </m:sub>
                                    </m:sSub>
                                    <m:r>
                                      <m:rPr>
                                        <m:sty m:val="p"/>
                                      </m:rPr>
                                      <w:rPr>
                                        <w:rFonts w:ascii="Cambria Math" w:eastAsia="Cambria Math" w:hAnsi="Cambria Math" w:cs="Times New Roman"/>
                                        <w:sz w:val="22"/>
                                      </w:rPr>
                                      <m:t>-</m:t>
                                    </m:r>
                                    <m:sSub>
                                      <m:sSubPr>
                                        <m:ctrlPr>
                                          <w:rPr>
                                            <w:rFonts w:ascii="Cambria Math" w:hAnsi="Cambria Math" w:cs="Times New Roman"/>
                                            <w:sz w:val="22"/>
                                          </w:rPr>
                                        </m:ctrlPr>
                                      </m:sSubPr>
                                      <m:e>
                                        <m:r>
                                          <w:rPr>
                                            <w:rFonts w:ascii="Cambria Math" w:eastAsia="Cambria Math" w:hAnsi="Cambria Math" w:cs="Times New Roman"/>
                                            <w:sz w:val="22"/>
                                          </w:rPr>
                                          <m:t>μ</m:t>
                                        </m:r>
                                      </m:e>
                                      <m:sub>
                                        <m:r>
                                          <w:rPr>
                                            <w:rFonts w:ascii="Cambria Math" w:eastAsia="Cambria Math" w:hAnsi="Cambria Math" w:cs="Times New Roman"/>
                                            <w:sz w:val="22"/>
                                          </w:rPr>
                                          <m:t>x</m:t>
                                        </m:r>
                                      </m:sub>
                                    </m:sSub>
                                  </m:e>
                                </m:d>
                              </m:e>
                              <m:sup>
                                <m:r>
                                  <w:rPr>
                                    <w:rFonts w:ascii="Cambria Math" w:eastAsia="Cambria Math" w:hAnsi="Cambria Math" w:cs="Times New Roman"/>
                                    <w:sz w:val="22"/>
                                  </w:rPr>
                                  <m:t>2</m:t>
                                </m:r>
                              </m:sup>
                            </m:sSup>
                          </m:e>
                        </m:nary>
                        <m:nary>
                          <m:naryPr>
                            <m:chr m:val="∑"/>
                            <m:limLoc m:val="undOvr"/>
                            <m:ctrlPr>
                              <w:rPr>
                                <w:rFonts w:ascii="Cambria Math" w:hAnsi="Cambria Math" w:cs="Times New Roman"/>
                                <w:sz w:val="22"/>
                              </w:rPr>
                            </m:ctrlPr>
                          </m:naryPr>
                          <m:sub>
                            <m:r>
                              <w:rPr>
                                <w:rFonts w:ascii="Cambria Math" w:eastAsia="Cambria Math" w:hAnsi="Cambria Math" w:cs="Times New Roman"/>
                                <w:sz w:val="22"/>
                              </w:rPr>
                              <m:t>i</m:t>
                            </m:r>
                            <m:r>
                              <m:rPr>
                                <m:sty m:val="p"/>
                              </m:rPr>
                              <w:rPr>
                                <w:rFonts w:ascii="Cambria Math" w:eastAsia="Cambria Math" w:hAnsi="Cambria Math" w:cs="Times New Roman"/>
                                <w:sz w:val="22"/>
                              </w:rPr>
                              <m:t>=</m:t>
                            </m:r>
                            <m:r>
                              <w:rPr>
                                <w:rFonts w:ascii="Cambria Math" w:eastAsia="Cambria Math" w:hAnsi="Cambria Math" w:cs="Times New Roman"/>
                                <w:sz w:val="22"/>
                              </w:rPr>
                              <m:t>1</m:t>
                            </m:r>
                          </m:sub>
                          <m:sup>
                            <m:r>
                              <w:rPr>
                                <w:rFonts w:ascii="Cambria Math" w:eastAsia="Cambria Math" w:hAnsi="Cambria Math" w:cs="Times New Roman"/>
                                <w:sz w:val="22"/>
                              </w:rPr>
                              <m:t>n</m:t>
                            </m:r>
                          </m:sup>
                          <m:e>
                            <m:sSup>
                              <m:sSupPr>
                                <m:ctrlPr>
                                  <w:rPr>
                                    <w:rFonts w:ascii="Cambria Math" w:hAnsi="Cambria Math" w:cs="Times New Roman"/>
                                    <w:sz w:val="22"/>
                                  </w:rPr>
                                </m:ctrlPr>
                              </m:sSupPr>
                              <m:e>
                                <m:d>
                                  <m:dPr>
                                    <m:ctrlPr>
                                      <w:rPr>
                                        <w:rFonts w:ascii="Cambria Math" w:hAnsi="Cambria Math" w:cs="Times New Roman"/>
                                        <w:sz w:val="22"/>
                                      </w:rPr>
                                    </m:ctrlPr>
                                  </m:dPr>
                                  <m:e>
                                    <m:sSub>
                                      <m:sSubPr>
                                        <m:ctrlPr>
                                          <w:rPr>
                                            <w:rFonts w:ascii="Cambria Math" w:hAnsi="Cambria Math" w:cs="Times New Roman"/>
                                            <w:sz w:val="22"/>
                                          </w:rPr>
                                        </m:ctrlPr>
                                      </m:sSubPr>
                                      <m:e>
                                        <m:r>
                                          <w:rPr>
                                            <w:rFonts w:ascii="Cambria Math" w:eastAsia="Cambria Math" w:hAnsi="Cambria Math" w:cs="Times New Roman"/>
                                            <w:sz w:val="22"/>
                                          </w:rPr>
                                          <m:t>y</m:t>
                                        </m:r>
                                      </m:e>
                                      <m:sub>
                                        <m:r>
                                          <w:rPr>
                                            <w:rFonts w:ascii="Cambria Math" w:eastAsia="Cambria Math" w:hAnsi="Cambria Math" w:cs="Times New Roman"/>
                                            <w:sz w:val="22"/>
                                          </w:rPr>
                                          <m:t>i</m:t>
                                        </m:r>
                                      </m:sub>
                                    </m:sSub>
                                    <m:r>
                                      <m:rPr>
                                        <m:sty m:val="p"/>
                                      </m:rPr>
                                      <w:rPr>
                                        <w:rFonts w:ascii="Cambria Math" w:eastAsia="Cambria Math" w:hAnsi="Cambria Math" w:cs="Times New Roman"/>
                                        <w:sz w:val="22"/>
                                      </w:rPr>
                                      <m:t>-</m:t>
                                    </m:r>
                                    <m:sSub>
                                      <m:sSubPr>
                                        <m:ctrlPr>
                                          <w:rPr>
                                            <w:rFonts w:ascii="Cambria Math" w:hAnsi="Cambria Math" w:cs="Times New Roman"/>
                                            <w:sz w:val="22"/>
                                          </w:rPr>
                                        </m:ctrlPr>
                                      </m:sSubPr>
                                      <m:e>
                                        <m:r>
                                          <w:rPr>
                                            <w:rFonts w:ascii="Cambria Math" w:eastAsia="Cambria Math" w:hAnsi="Cambria Math" w:cs="Times New Roman"/>
                                            <w:sz w:val="22"/>
                                          </w:rPr>
                                          <m:t>μ</m:t>
                                        </m:r>
                                      </m:e>
                                      <m:sub>
                                        <m:r>
                                          <w:rPr>
                                            <w:rFonts w:ascii="Cambria Math" w:eastAsia="Cambria Math" w:hAnsi="Cambria Math" w:cs="Times New Roman"/>
                                            <w:sz w:val="22"/>
                                          </w:rPr>
                                          <m:t>y</m:t>
                                        </m:r>
                                      </m:sub>
                                    </m:sSub>
                                  </m:e>
                                </m:d>
                              </m:e>
                              <m:sup>
                                <m:r>
                                  <w:rPr>
                                    <w:rFonts w:ascii="Cambria Math" w:eastAsia="Cambria Math" w:hAnsi="Cambria Math" w:cs="Times New Roman"/>
                                    <w:sz w:val="22"/>
                                  </w:rPr>
                                  <m:t>2</m:t>
                                </m:r>
                              </m:sup>
                            </m:sSup>
                          </m:e>
                        </m:nary>
                      </m:e>
                    </m:rad>
                  </m:den>
                </m:f>
              </m:oMath>
            </m:oMathPara>
          </w:p>
        </w:tc>
        <w:tc>
          <w:tcPr>
            <w:tcW w:w="833" w:type="dxa"/>
          </w:tcPr>
          <w:p w14:paraId="08F67124" w14:textId="77777777" w:rsidR="008D57A7" w:rsidRPr="00611403" w:rsidRDefault="002C2C33" w:rsidP="00446304">
            <w:pPr>
              <w:spacing w:after="0"/>
              <w:jc w:val="both"/>
              <w:rPr>
                <w:rFonts w:cs="Times New Roman"/>
                <w:szCs w:val="24"/>
              </w:rPr>
            </w:pPr>
            <w:r w:rsidRPr="00611403">
              <w:rPr>
                <w:rFonts w:eastAsia="Times New Roman" w:cs="Times New Roman"/>
                <w:szCs w:val="24"/>
              </w:rPr>
              <w:t>(2)</w:t>
            </w:r>
          </w:p>
        </w:tc>
      </w:tr>
    </w:tbl>
    <w:p w14:paraId="047B059C" w14:textId="77777777" w:rsidR="007C0B83" w:rsidRDefault="007C0B83" w:rsidP="00D034F6">
      <w:pPr>
        <w:spacing w:after="0"/>
        <w:ind w:left="360"/>
        <w:jc w:val="both"/>
        <w:rPr>
          <w:rFonts w:eastAsia="Times New Roman" w:cs="Times New Roman"/>
          <w:szCs w:val="24"/>
        </w:rPr>
      </w:pPr>
    </w:p>
    <w:p w14:paraId="69F9ECB6" w14:textId="2A18622C" w:rsidR="008D57A7" w:rsidRPr="00611403" w:rsidRDefault="002C2C33" w:rsidP="00D034F6">
      <w:pPr>
        <w:spacing w:after="0"/>
        <w:ind w:left="360"/>
        <w:jc w:val="both"/>
        <w:rPr>
          <w:rFonts w:cs="Times New Roman"/>
          <w:szCs w:val="24"/>
        </w:rPr>
      </w:pPr>
      <w:r w:rsidRPr="00611403">
        <w:rPr>
          <w:rFonts w:eastAsia="Times New Roman" w:cs="Times New Roman"/>
          <w:szCs w:val="24"/>
        </w:rPr>
        <w:t xml:space="preserve">In Equation (2), </w:t>
      </w:r>
      <m:oMath>
        <m:sSub>
          <m:sSubPr>
            <m:ctrlPr>
              <w:rPr>
                <w:rFonts w:ascii="Cambria Math" w:hAnsi="Cambria Math" w:cs="Times New Roman"/>
                <w:sz w:val="22"/>
              </w:rPr>
            </m:ctrlPr>
          </m:sSubPr>
          <m:e>
            <m:r>
              <w:rPr>
                <w:rFonts w:ascii="Cambria Math" w:eastAsia="Cambria Math" w:hAnsi="Cambria Math" w:cs="Times New Roman"/>
                <w:sz w:val="22"/>
              </w:rPr>
              <m:t>x</m:t>
            </m:r>
          </m:e>
          <m:sub>
            <m:r>
              <w:rPr>
                <w:rFonts w:ascii="Cambria Math" w:eastAsia="Cambria Math" w:hAnsi="Cambria Math" w:cs="Times New Roman"/>
                <w:sz w:val="22"/>
              </w:rPr>
              <m:t>i</m:t>
            </m:r>
          </m:sub>
        </m:sSub>
      </m:oMath>
      <w:r w:rsidRPr="00611403">
        <w:rPr>
          <w:rFonts w:eastAsia="Times New Roman" w:cs="Times New Roman"/>
          <w:szCs w:val="24"/>
        </w:rPr>
        <w:t xml:space="preserve"> and </w:t>
      </w:r>
      <m:oMath>
        <m:sSub>
          <m:sSubPr>
            <m:ctrlPr>
              <w:rPr>
                <w:rFonts w:ascii="Cambria Math" w:hAnsi="Cambria Math" w:cs="Times New Roman"/>
                <w:sz w:val="22"/>
              </w:rPr>
            </m:ctrlPr>
          </m:sSubPr>
          <m:e>
            <m:r>
              <w:rPr>
                <w:rFonts w:ascii="Cambria Math" w:eastAsia="Cambria Math" w:hAnsi="Cambria Math" w:cs="Times New Roman"/>
                <w:sz w:val="22"/>
              </w:rPr>
              <m:t>y</m:t>
            </m:r>
          </m:e>
          <m:sub>
            <m:r>
              <w:rPr>
                <w:rFonts w:ascii="Cambria Math" w:eastAsia="Cambria Math" w:hAnsi="Cambria Math" w:cs="Times New Roman"/>
                <w:sz w:val="22"/>
              </w:rPr>
              <m:t>i</m:t>
            </m:r>
          </m:sub>
        </m:sSub>
      </m:oMath>
      <w:r w:rsidRPr="00611403">
        <w:rPr>
          <w:rFonts w:eastAsia="Times New Roman" w:cs="Times New Roman"/>
          <w:szCs w:val="24"/>
        </w:rPr>
        <w:t xml:space="preserve"> denote paired observations, </w:t>
      </w:r>
      <m:oMath>
        <m:sSub>
          <m:sSubPr>
            <m:ctrlPr>
              <w:rPr>
                <w:rFonts w:ascii="Cambria Math" w:hAnsi="Cambria Math" w:cs="Times New Roman"/>
                <w:sz w:val="22"/>
              </w:rPr>
            </m:ctrlPr>
          </m:sSubPr>
          <m:e>
            <m:r>
              <w:rPr>
                <w:rFonts w:ascii="Cambria Math" w:eastAsia="Cambria Math" w:hAnsi="Cambria Math" w:cs="Times New Roman"/>
                <w:sz w:val="22"/>
              </w:rPr>
              <m:t>μ</m:t>
            </m:r>
          </m:e>
          <m:sub>
            <m:r>
              <w:rPr>
                <w:rFonts w:ascii="Cambria Math" w:eastAsia="Cambria Math" w:hAnsi="Cambria Math" w:cs="Times New Roman"/>
                <w:sz w:val="22"/>
              </w:rPr>
              <m:t>x</m:t>
            </m:r>
          </m:sub>
        </m:sSub>
        <m:r>
          <w:rPr>
            <w:rFonts w:ascii="Cambria Math" w:hAnsi="Cambria Math" w:cs="Times New Roman"/>
            <w:sz w:val="22"/>
          </w:rPr>
          <m:t xml:space="preserve"> </m:t>
        </m:r>
      </m:oMath>
      <w:r w:rsidRPr="00611403">
        <w:rPr>
          <w:rFonts w:eastAsia="Times New Roman" w:cs="Times New Roman"/>
          <w:szCs w:val="24"/>
        </w:rPr>
        <w:t xml:space="preserve">and </w:t>
      </w:r>
      <m:oMath>
        <m:sSub>
          <m:sSubPr>
            <m:ctrlPr>
              <w:rPr>
                <w:rFonts w:ascii="Cambria Math" w:hAnsi="Cambria Math" w:cs="Times New Roman"/>
                <w:sz w:val="22"/>
              </w:rPr>
            </m:ctrlPr>
          </m:sSubPr>
          <m:e>
            <m:r>
              <w:rPr>
                <w:rFonts w:ascii="Cambria Math" w:eastAsia="Cambria Math" w:hAnsi="Cambria Math" w:cs="Times New Roman"/>
                <w:sz w:val="22"/>
              </w:rPr>
              <m:t>μ</m:t>
            </m:r>
          </m:e>
          <m:sub>
            <m:r>
              <w:rPr>
                <w:rFonts w:ascii="Cambria Math" w:eastAsia="Cambria Math" w:hAnsi="Cambria Math" w:cs="Times New Roman"/>
                <w:sz w:val="22"/>
              </w:rPr>
              <m:t>y</m:t>
            </m:r>
          </m:sub>
        </m:sSub>
        <m:r>
          <w:rPr>
            <w:rFonts w:ascii="Cambria Math" w:hAnsi="Cambria Math" w:cs="Times New Roman"/>
            <w:sz w:val="22"/>
          </w:rPr>
          <m:t xml:space="preserve"> </m:t>
        </m:r>
      </m:oMath>
      <w:r w:rsidRPr="00611403">
        <w:rPr>
          <w:rFonts w:eastAsia="Times New Roman" w:cs="Times New Roman"/>
          <w:szCs w:val="24"/>
        </w:rPr>
        <w:t xml:space="preserve">denote sample means, and </w:t>
      </w:r>
      <m:oMath>
        <m:sSub>
          <m:sSubPr>
            <m:ctrlPr>
              <w:rPr>
                <w:rFonts w:ascii="Cambria Math" w:hAnsi="Cambria Math" w:cs="Times New Roman"/>
                <w:sz w:val="22"/>
              </w:rPr>
            </m:ctrlPr>
          </m:sSubPr>
          <m:e>
            <m:r>
              <w:rPr>
                <w:rFonts w:ascii="Cambria Math" w:eastAsia="Cambria Math" w:hAnsi="Cambria Math" w:cs="Times New Roman"/>
                <w:sz w:val="22"/>
              </w:rPr>
              <m:t>r</m:t>
            </m:r>
          </m:e>
          <m:sub>
            <m:r>
              <w:rPr>
                <w:rFonts w:ascii="Cambria Math" w:eastAsia="Cambria Math" w:hAnsi="Cambria Math" w:cs="Times New Roman"/>
                <w:sz w:val="22"/>
              </w:rPr>
              <m:t>xy</m:t>
            </m:r>
          </m:sub>
        </m:sSub>
      </m:oMath>
      <w:r w:rsidR="003E629E">
        <w:rPr>
          <w:rFonts w:eastAsia="Times New Roman" w:cs="Times New Roman"/>
          <w:sz w:val="22"/>
        </w:rPr>
        <w:t xml:space="preserve"> </w:t>
      </w:r>
      <w:r w:rsidRPr="00611403">
        <w:rPr>
          <w:rFonts w:eastAsia="Times New Roman" w:cs="Times New Roman"/>
          <w:szCs w:val="24"/>
        </w:rPr>
        <w:t>denotes the Pearson correlation coefficient. Because the national dataset contains only five annual observations, this coefficient is interpreted only as an exploratory signal and not as evidence of causality.</w:t>
      </w:r>
    </w:p>
    <w:p w14:paraId="33FB0385" w14:textId="77777777" w:rsidR="008D57A7" w:rsidRPr="00611403" w:rsidRDefault="002C2C33" w:rsidP="003E629E">
      <w:pPr>
        <w:spacing w:after="0"/>
        <w:ind w:left="360"/>
        <w:jc w:val="both"/>
        <w:rPr>
          <w:rFonts w:cs="Times New Roman"/>
          <w:szCs w:val="24"/>
        </w:rPr>
      </w:pPr>
      <w:r w:rsidRPr="00611403">
        <w:rPr>
          <w:rFonts w:eastAsia="Times New Roman" w:cs="Times New Roman"/>
          <w:szCs w:val="24"/>
        </w:rPr>
        <w:t xml:space="preserve">Fourth, provincial QRIS concentration is assessed through provincial shares, the Herfindahl-Hirschman Index (HHI), and the Gini coefficient. Provincial QRIS share </w:t>
      </w:r>
      <w:r w:rsidRPr="00611403">
        <w:rPr>
          <w:rFonts w:eastAsia="Times New Roman" w:cs="Times New Roman"/>
          <w:szCs w:val="24"/>
        </w:rPr>
        <w:lastRenderedPageBreak/>
        <w:t xml:space="preserve">is calculated using Equation (3), where </w:t>
      </w:r>
      <m:oMath>
        <m:sSub>
          <m:sSubPr>
            <m:ctrlPr>
              <w:rPr>
                <w:rFonts w:ascii="Cambria Math" w:hAnsi="Cambria Math" w:cs="Times New Roman"/>
                <w:sz w:val="22"/>
              </w:rPr>
            </m:ctrlPr>
          </m:sSubPr>
          <m:e>
            <m:r>
              <w:rPr>
                <w:rFonts w:ascii="Cambria Math" w:eastAsia="Cambria Math" w:hAnsi="Cambria Math" w:cs="Times New Roman"/>
                <w:sz w:val="22"/>
              </w:rPr>
              <m:t>S</m:t>
            </m:r>
          </m:e>
          <m:sub>
            <m:r>
              <w:rPr>
                <w:rFonts w:ascii="Cambria Math" w:eastAsia="Cambria Math" w:hAnsi="Cambria Math" w:cs="Times New Roman"/>
                <w:sz w:val="22"/>
              </w:rPr>
              <m:t>i</m:t>
            </m:r>
          </m:sub>
        </m:sSub>
      </m:oMath>
      <w:r w:rsidRPr="00611403">
        <w:rPr>
          <w:rFonts w:eastAsia="Times New Roman" w:cs="Times New Roman"/>
          <w:szCs w:val="24"/>
        </w:rPr>
        <w:t xml:space="preserve"> is the QRIS share of province </w:t>
      </w:r>
      <w:r w:rsidRPr="003E629E">
        <w:rPr>
          <w:rFonts w:eastAsia="Times New Roman" w:cs="Times New Roman"/>
          <w:i/>
          <w:szCs w:val="24"/>
        </w:rPr>
        <w:t>i</w:t>
      </w:r>
      <w:r w:rsidRPr="00611403">
        <w:rPr>
          <w:rFonts w:eastAsia="Times New Roman" w:cs="Times New Roman"/>
          <w:szCs w:val="24"/>
        </w:rPr>
        <w:t xml:space="preserve"> and </w:t>
      </w:r>
      <m:oMath>
        <m:sSub>
          <m:sSubPr>
            <m:ctrlPr>
              <w:rPr>
                <w:rFonts w:ascii="Cambria Math" w:hAnsi="Cambria Math" w:cs="Times New Roman"/>
                <w:sz w:val="22"/>
              </w:rPr>
            </m:ctrlPr>
          </m:sSubPr>
          <m:e>
            <m:r>
              <w:rPr>
                <w:rFonts w:ascii="Cambria Math" w:eastAsia="Cambria Math" w:hAnsi="Cambria Math" w:cs="Times New Roman"/>
                <w:sz w:val="22"/>
              </w:rPr>
              <m:t>Q</m:t>
            </m:r>
          </m:e>
          <m:sub>
            <m:r>
              <w:rPr>
                <w:rFonts w:ascii="Cambria Math" w:eastAsia="Cambria Math" w:hAnsi="Cambria Math" w:cs="Times New Roman"/>
                <w:sz w:val="22"/>
              </w:rPr>
              <m:t>i</m:t>
            </m:r>
          </m:sub>
        </m:sSub>
      </m:oMath>
      <w:r w:rsidRPr="00611403">
        <w:rPr>
          <w:rFonts w:eastAsia="Times New Roman" w:cs="Times New Roman"/>
          <w:szCs w:val="24"/>
        </w:rPr>
        <w:t xml:space="preserve"> is the QRIS merchant count of province </w:t>
      </w:r>
      <w:r w:rsidRPr="003E629E">
        <w:rPr>
          <w:rFonts w:eastAsia="Times New Roman" w:cs="Times New Roman"/>
          <w:i/>
          <w:szCs w:val="24"/>
        </w:rPr>
        <w:t>i</w:t>
      </w:r>
      <w:r w:rsidRPr="00611403">
        <w:rPr>
          <w:rFonts w:eastAsia="Times New Roman" w:cs="Times New Roman"/>
          <w:szCs w:val="24"/>
        </w:rPr>
        <w:t>.</w:t>
      </w:r>
    </w:p>
    <w:tbl>
      <w:tblPr>
        <w:tblW w:w="0" w:type="auto"/>
        <w:tblBorders>
          <w:top w:val="nil"/>
          <w:left w:val="nil"/>
          <w:bottom w:val="nil"/>
          <w:right w:val="nil"/>
          <w:insideH w:val="nil"/>
          <w:insideV w:val="nil"/>
        </w:tblBorders>
        <w:tblLook w:val="04A0" w:firstRow="1" w:lastRow="0" w:firstColumn="1" w:lastColumn="0" w:noHBand="0" w:noVBand="1"/>
      </w:tblPr>
      <w:tblGrid>
        <w:gridCol w:w="7661"/>
        <w:gridCol w:w="843"/>
      </w:tblGrid>
      <w:tr w:rsidR="008D57A7" w:rsidRPr="00611403" w14:paraId="6A3F5A72" w14:textId="77777777">
        <w:tc>
          <w:tcPr>
            <w:tcW w:w="8064" w:type="dxa"/>
          </w:tcPr>
          <w:p w14:paraId="3FC2D364" w14:textId="77777777" w:rsidR="008D57A7" w:rsidRPr="009352F1" w:rsidRDefault="00000000" w:rsidP="00446304">
            <w:pPr>
              <w:spacing w:after="0"/>
              <w:jc w:val="both"/>
              <w:rPr>
                <w:rFonts w:cs="Times New Roman"/>
                <w:sz w:val="22"/>
              </w:rPr>
            </w:pPr>
            <m:oMathPara>
              <m:oMathParaPr>
                <m:jc m:val="center"/>
              </m:oMathParaPr>
              <m:oMath>
                <m:sSub>
                  <m:sSubPr>
                    <m:ctrlPr>
                      <w:rPr>
                        <w:rFonts w:ascii="Cambria Math" w:hAnsi="Cambria Math" w:cs="Times New Roman"/>
                        <w:sz w:val="22"/>
                      </w:rPr>
                    </m:ctrlPr>
                  </m:sSubPr>
                  <m:e>
                    <m:r>
                      <w:rPr>
                        <w:rFonts w:ascii="Cambria Math" w:eastAsia="Cambria Math" w:hAnsi="Cambria Math" w:cs="Times New Roman"/>
                        <w:sz w:val="22"/>
                      </w:rPr>
                      <m:t>S</m:t>
                    </m:r>
                  </m:e>
                  <m:sub>
                    <m:r>
                      <w:rPr>
                        <w:rFonts w:ascii="Cambria Math" w:eastAsia="Cambria Math" w:hAnsi="Cambria Math" w:cs="Times New Roman"/>
                        <w:sz w:val="22"/>
                      </w:rPr>
                      <m:t>i</m:t>
                    </m:r>
                  </m:sub>
                </m:sSub>
                <m:r>
                  <m:rPr>
                    <m:sty m:val="p"/>
                  </m:rPr>
                  <w:rPr>
                    <w:rFonts w:ascii="Cambria Math" w:eastAsia="Cambria Math" w:hAnsi="Cambria Math" w:cs="Times New Roman"/>
                    <w:sz w:val="22"/>
                  </w:rPr>
                  <m:t>=</m:t>
                </m:r>
                <m:f>
                  <m:fPr>
                    <m:ctrlPr>
                      <w:rPr>
                        <w:rFonts w:ascii="Cambria Math" w:hAnsi="Cambria Math" w:cs="Times New Roman"/>
                        <w:sz w:val="22"/>
                      </w:rPr>
                    </m:ctrlPr>
                  </m:fPr>
                  <m:num>
                    <m:sSub>
                      <m:sSubPr>
                        <m:ctrlPr>
                          <w:rPr>
                            <w:rFonts w:ascii="Cambria Math" w:hAnsi="Cambria Math" w:cs="Times New Roman"/>
                            <w:sz w:val="22"/>
                          </w:rPr>
                        </m:ctrlPr>
                      </m:sSubPr>
                      <m:e>
                        <m:r>
                          <w:rPr>
                            <w:rFonts w:ascii="Cambria Math" w:eastAsia="Cambria Math" w:hAnsi="Cambria Math" w:cs="Times New Roman"/>
                            <w:sz w:val="22"/>
                          </w:rPr>
                          <m:t>Q</m:t>
                        </m:r>
                      </m:e>
                      <m:sub>
                        <m:r>
                          <w:rPr>
                            <w:rFonts w:ascii="Cambria Math" w:eastAsia="Cambria Math" w:hAnsi="Cambria Math" w:cs="Times New Roman"/>
                            <w:sz w:val="22"/>
                          </w:rPr>
                          <m:t>i</m:t>
                        </m:r>
                      </m:sub>
                    </m:sSub>
                  </m:num>
                  <m:den>
                    <m:nary>
                      <m:naryPr>
                        <m:chr m:val="∑"/>
                        <m:limLoc m:val="undOvr"/>
                        <m:ctrlPr>
                          <w:rPr>
                            <w:rFonts w:ascii="Cambria Math" w:hAnsi="Cambria Math" w:cs="Times New Roman"/>
                            <w:sz w:val="22"/>
                          </w:rPr>
                        </m:ctrlPr>
                      </m:naryPr>
                      <m:sub>
                        <m:r>
                          <w:rPr>
                            <w:rFonts w:ascii="Cambria Math" w:eastAsia="Cambria Math" w:hAnsi="Cambria Math" w:cs="Times New Roman"/>
                            <w:sz w:val="22"/>
                          </w:rPr>
                          <m:t>i</m:t>
                        </m:r>
                        <m:r>
                          <m:rPr>
                            <m:sty m:val="p"/>
                          </m:rPr>
                          <w:rPr>
                            <w:rFonts w:ascii="Cambria Math" w:eastAsia="Cambria Math" w:hAnsi="Cambria Math" w:cs="Times New Roman"/>
                            <w:sz w:val="22"/>
                          </w:rPr>
                          <m:t>=</m:t>
                        </m:r>
                        <m:r>
                          <w:rPr>
                            <w:rFonts w:ascii="Cambria Math" w:eastAsia="Cambria Math" w:hAnsi="Cambria Math" w:cs="Times New Roman"/>
                            <w:sz w:val="22"/>
                          </w:rPr>
                          <m:t>1</m:t>
                        </m:r>
                      </m:sub>
                      <m:sup>
                        <m:r>
                          <w:rPr>
                            <w:rFonts w:ascii="Cambria Math" w:eastAsia="Cambria Math" w:hAnsi="Cambria Math" w:cs="Times New Roman"/>
                            <w:sz w:val="22"/>
                          </w:rPr>
                          <m:t>n</m:t>
                        </m:r>
                      </m:sup>
                      <m:e>
                        <m:sSub>
                          <m:sSubPr>
                            <m:ctrlPr>
                              <w:rPr>
                                <w:rFonts w:ascii="Cambria Math" w:hAnsi="Cambria Math" w:cs="Times New Roman"/>
                                <w:sz w:val="22"/>
                              </w:rPr>
                            </m:ctrlPr>
                          </m:sSubPr>
                          <m:e>
                            <m:r>
                              <w:rPr>
                                <w:rFonts w:ascii="Cambria Math" w:eastAsia="Cambria Math" w:hAnsi="Cambria Math" w:cs="Times New Roman"/>
                                <w:sz w:val="22"/>
                              </w:rPr>
                              <m:t>Q</m:t>
                            </m:r>
                          </m:e>
                          <m:sub>
                            <m:r>
                              <w:rPr>
                                <w:rFonts w:ascii="Cambria Math" w:eastAsia="Cambria Math" w:hAnsi="Cambria Math" w:cs="Times New Roman"/>
                                <w:sz w:val="22"/>
                              </w:rPr>
                              <m:t>i</m:t>
                            </m:r>
                          </m:sub>
                        </m:sSub>
                      </m:e>
                    </m:nary>
                  </m:den>
                </m:f>
                <m:r>
                  <m:rPr>
                    <m:sty m:val="p"/>
                  </m:rPr>
                  <w:rPr>
                    <w:rFonts w:ascii="Cambria Math" w:eastAsia="Cambria Math" w:hAnsi="Cambria Math" w:cs="Times New Roman"/>
                    <w:sz w:val="22"/>
                  </w:rPr>
                  <m:t>×</m:t>
                </m:r>
                <m:r>
                  <w:rPr>
                    <w:rFonts w:ascii="Cambria Math" w:eastAsia="Cambria Math" w:hAnsi="Cambria Math" w:cs="Times New Roman"/>
                    <w:sz w:val="22"/>
                  </w:rPr>
                  <m:t>100</m:t>
                </m:r>
              </m:oMath>
            </m:oMathPara>
          </w:p>
        </w:tc>
        <w:tc>
          <w:tcPr>
            <w:tcW w:w="864" w:type="dxa"/>
          </w:tcPr>
          <w:p w14:paraId="30348782" w14:textId="77777777" w:rsidR="008D57A7" w:rsidRPr="00611403" w:rsidRDefault="002C2C33" w:rsidP="00446304">
            <w:pPr>
              <w:spacing w:after="0"/>
              <w:jc w:val="both"/>
              <w:rPr>
                <w:rFonts w:cs="Times New Roman"/>
                <w:szCs w:val="24"/>
              </w:rPr>
            </w:pPr>
            <w:r w:rsidRPr="00611403">
              <w:rPr>
                <w:rFonts w:eastAsia="Times New Roman" w:cs="Times New Roman"/>
                <w:szCs w:val="24"/>
              </w:rPr>
              <w:t>(3)</w:t>
            </w:r>
          </w:p>
        </w:tc>
      </w:tr>
    </w:tbl>
    <w:p w14:paraId="1B7DA78D" w14:textId="186DAB60" w:rsidR="008D57A7" w:rsidRDefault="002C2C33" w:rsidP="00A3602C">
      <w:pPr>
        <w:spacing w:after="0"/>
        <w:ind w:left="360"/>
        <w:jc w:val="both"/>
        <w:rPr>
          <w:rFonts w:eastAsia="Times New Roman" w:cs="Times New Roman"/>
          <w:szCs w:val="24"/>
        </w:rPr>
      </w:pPr>
      <w:r w:rsidRPr="00611403">
        <w:rPr>
          <w:rFonts w:eastAsia="Times New Roman" w:cs="Times New Roman"/>
          <w:szCs w:val="24"/>
        </w:rPr>
        <w:t>The HHI is then calculated from provincial shares expressed in percentage terms, as shown in Equation (4)</w:t>
      </w:r>
      <w:r w:rsidR="004E2211" w:rsidRPr="004E2211">
        <w:t xml:space="preserve"> </w:t>
      </w:r>
      <w:r w:rsidR="004E2211" w:rsidRPr="004E2211">
        <w:rPr>
          <w:rFonts w:eastAsia="Times New Roman" w:cs="Times New Roman"/>
          <w:szCs w:val="24"/>
        </w:rPr>
        <w:t>consistent with Multivariate Data Analysis procedures defined by</w:t>
      </w:r>
      <w:r w:rsidR="004E2211">
        <w:rPr>
          <w:rFonts w:eastAsia="Times New Roman" w:cs="Times New Roman"/>
          <w:szCs w:val="24"/>
        </w:rPr>
        <w:fldChar w:fldCharType="begin" w:fldLock="1"/>
      </w:r>
      <w:r w:rsidR="00C04B70">
        <w:rPr>
          <w:rFonts w:eastAsia="Times New Roman" w:cs="Times New Roman"/>
          <w:szCs w:val="24"/>
        </w:rPr>
        <w:instrText>ADDIN CSL_CITATION {"citationItems":[{"id":"ITEM-1","itemData":{"author":[{"dropping-particle":"","family":"Hirschmann","given":"A","non-dropping-particle":"","parse-names":false,"suffix":""}],"container-title":"American Economic Review","id":"ITEM-1","issued":{"date-parts":[["1964"]]},"page":"761","title":"The Paternity of an Index","type":"article-journal","volume":"54"},"uris":["http://www.mendeley.com/documents/?uuid=c06efd6e-7bb4-4d3a-9105-6826da669fd0"]}],"mendeley":{"formattedCitation":"(Hirschmann, 1964)","manualFormatting":" Hirschmann, 1964","plainTextFormattedCitation":"(Hirschmann, 1964)","previouslyFormattedCitation":"(Hirschmann, 1964)"},"properties":{"noteIndex":0},"schema":"https://github.com/citation-style-language/schema/raw/master/csl-citation.json"}</w:instrText>
      </w:r>
      <w:r w:rsidR="004E2211">
        <w:rPr>
          <w:rFonts w:eastAsia="Times New Roman" w:cs="Times New Roman"/>
          <w:szCs w:val="24"/>
        </w:rPr>
        <w:fldChar w:fldCharType="separate"/>
      </w:r>
      <w:r w:rsidR="004E2211">
        <w:rPr>
          <w:rFonts w:eastAsia="Times New Roman" w:cs="Times New Roman"/>
          <w:noProof/>
          <w:szCs w:val="24"/>
        </w:rPr>
        <w:t xml:space="preserve"> </w:t>
      </w:r>
      <w:r w:rsidR="004E2211" w:rsidRPr="004E2211">
        <w:rPr>
          <w:rFonts w:eastAsia="Times New Roman" w:cs="Times New Roman"/>
          <w:noProof/>
          <w:szCs w:val="24"/>
        </w:rPr>
        <w:t>Hirschmann, 1964</w:t>
      </w:r>
      <w:r w:rsidR="004E2211">
        <w:rPr>
          <w:rFonts w:eastAsia="Times New Roman" w:cs="Times New Roman"/>
          <w:szCs w:val="24"/>
        </w:rPr>
        <w:fldChar w:fldCharType="end"/>
      </w:r>
      <w:r w:rsidR="004E2211">
        <w:rPr>
          <w:rFonts w:eastAsia="Times New Roman" w:cs="Times New Roman"/>
          <w:szCs w:val="24"/>
        </w:rPr>
        <w:t xml:space="preserve"> :</w:t>
      </w:r>
    </w:p>
    <w:tbl>
      <w:tblPr>
        <w:tblW w:w="0" w:type="auto"/>
        <w:tblBorders>
          <w:top w:val="nil"/>
          <w:left w:val="nil"/>
          <w:bottom w:val="nil"/>
          <w:right w:val="nil"/>
          <w:insideH w:val="nil"/>
          <w:insideV w:val="nil"/>
        </w:tblBorders>
        <w:tblLook w:val="04A0" w:firstRow="1" w:lastRow="0" w:firstColumn="1" w:lastColumn="0" w:noHBand="0" w:noVBand="1"/>
      </w:tblPr>
      <w:tblGrid>
        <w:gridCol w:w="7661"/>
        <w:gridCol w:w="843"/>
      </w:tblGrid>
      <w:tr w:rsidR="008D57A7" w:rsidRPr="00611403" w14:paraId="0F397AE8" w14:textId="77777777">
        <w:tc>
          <w:tcPr>
            <w:tcW w:w="8064" w:type="dxa"/>
          </w:tcPr>
          <w:p w14:paraId="3E91816C" w14:textId="77777777" w:rsidR="008D57A7" w:rsidRPr="009352F1" w:rsidRDefault="002C2C33" w:rsidP="00446304">
            <w:pPr>
              <w:spacing w:after="0"/>
              <w:jc w:val="both"/>
              <w:rPr>
                <w:rFonts w:cs="Times New Roman"/>
                <w:sz w:val="22"/>
              </w:rPr>
            </w:pPr>
            <m:oMathPara>
              <m:oMathParaPr>
                <m:jc m:val="center"/>
              </m:oMathParaPr>
              <m:oMath>
                <m:r>
                  <w:rPr>
                    <w:rFonts w:ascii="Cambria Math" w:eastAsia="Cambria Math" w:hAnsi="Cambria Math" w:cs="Times New Roman"/>
                    <w:sz w:val="22"/>
                  </w:rPr>
                  <m:t>HHI</m:t>
                </m:r>
                <m:r>
                  <m:rPr>
                    <m:sty m:val="p"/>
                  </m:rPr>
                  <w:rPr>
                    <w:rFonts w:ascii="Cambria Math" w:eastAsia="Cambria Math" w:hAnsi="Cambria Math" w:cs="Times New Roman"/>
                    <w:sz w:val="22"/>
                  </w:rPr>
                  <m:t>=</m:t>
                </m:r>
                <m:nary>
                  <m:naryPr>
                    <m:chr m:val="∑"/>
                    <m:limLoc m:val="undOvr"/>
                    <m:ctrlPr>
                      <w:rPr>
                        <w:rFonts w:ascii="Cambria Math" w:hAnsi="Cambria Math" w:cs="Times New Roman"/>
                        <w:sz w:val="22"/>
                      </w:rPr>
                    </m:ctrlPr>
                  </m:naryPr>
                  <m:sub>
                    <m:r>
                      <w:rPr>
                        <w:rFonts w:ascii="Cambria Math" w:eastAsia="Cambria Math" w:hAnsi="Cambria Math" w:cs="Times New Roman"/>
                        <w:sz w:val="22"/>
                      </w:rPr>
                      <m:t>i</m:t>
                    </m:r>
                    <m:r>
                      <m:rPr>
                        <m:sty m:val="p"/>
                      </m:rPr>
                      <w:rPr>
                        <w:rFonts w:ascii="Cambria Math" w:eastAsia="Cambria Math" w:hAnsi="Cambria Math" w:cs="Times New Roman"/>
                        <w:sz w:val="22"/>
                      </w:rPr>
                      <m:t>=</m:t>
                    </m:r>
                    <m:r>
                      <w:rPr>
                        <w:rFonts w:ascii="Cambria Math" w:eastAsia="Cambria Math" w:hAnsi="Cambria Math" w:cs="Times New Roman"/>
                        <w:sz w:val="22"/>
                      </w:rPr>
                      <m:t>1</m:t>
                    </m:r>
                  </m:sub>
                  <m:sup>
                    <m:r>
                      <w:rPr>
                        <w:rFonts w:ascii="Cambria Math" w:eastAsia="Cambria Math" w:hAnsi="Cambria Math" w:cs="Times New Roman"/>
                        <w:sz w:val="22"/>
                      </w:rPr>
                      <m:t>n</m:t>
                    </m:r>
                  </m:sup>
                  <m:e>
                    <m:sSubSup>
                      <m:sSubSupPr>
                        <m:ctrlPr>
                          <w:rPr>
                            <w:rFonts w:ascii="Cambria Math" w:hAnsi="Cambria Math" w:cs="Times New Roman"/>
                            <w:sz w:val="22"/>
                          </w:rPr>
                        </m:ctrlPr>
                      </m:sSubSupPr>
                      <m:e>
                        <m:r>
                          <w:rPr>
                            <w:rFonts w:ascii="Cambria Math" w:eastAsia="Cambria Math" w:hAnsi="Cambria Math" w:cs="Times New Roman"/>
                            <w:sz w:val="22"/>
                          </w:rPr>
                          <m:t>s</m:t>
                        </m:r>
                      </m:e>
                      <m:sub>
                        <m:r>
                          <w:rPr>
                            <w:rFonts w:ascii="Cambria Math" w:eastAsia="Cambria Math" w:hAnsi="Cambria Math" w:cs="Times New Roman"/>
                            <w:sz w:val="22"/>
                          </w:rPr>
                          <m:t>i</m:t>
                        </m:r>
                      </m:sub>
                      <m:sup>
                        <m:r>
                          <w:rPr>
                            <w:rFonts w:ascii="Cambria Math" w:eastAsia="Cambria Math" w:hAnsi="Cambria Math" w:cs="Times New Roman"/>
                            <w:sz w:val="22"/>
                          </w:rPr>
                          <m:t>2</m:t>
                        </m:r>
                      </m:sup>
                    </m:sSubSup>
                  </m:e>
                </m:nary>
              </m:oMath>
            </m:oMathPara>
          </w:p>
        </w:tc>
        <w:tc>
          <w:tcPr>
            <w:tcW w:w="864" w:type="dxa"/>
          </w:tcPr>
          <w:p w14:paraId="6F1EE4B9" w14:textId="77777777" w:rsidR="008D57A7" w:rsidRPr="00611403" w:rsidRDefault="002C2C33" w:rsidP="00446304">
            <w:pPr>
              <w:spacing w:after="0"/>
              <w:jc w:val="both"/>
              <w:rPr>
                <w:rFonts w:cs="Times New Roman"/>
                <w:szCs w:val="24"/>
              </w:rPr>
            </w:pPr>
            <w:r w:rsidRPr="00611403">
              <w:rPr>
                <w:rFonts w:eastAsia="Times New Roman" w:cs="Times New Roman"/>
                <w:szCs w:val="24"/>
              </w:rPr>
              <w:t>(4)</w:t>
            </w:r>
          </w:p>
        </w:tc>
      </w:tr>
    </w:tbl>
    <w:p w14:paraId="62C4479D" w14:textId="77777777" w:rsidR="007C0B83" w:rsidRDefault="007C0B83" w:rsidP="00A3602C">
      <w:pPr>
        <w:spacing w:after="0"/>
        <w:ind w:left="360"/>
        <w:jc w:val="both"/>
        <w:rPr>
          <w:rFonts w:eastAsia="Times New Roman" w:cs="Times New Roman"/>
          <w:szCs w:val="24"/>
        </w:rPr>
      </w:pPr>
    </w:p>
    <w:p w14:paraId="2B2CC6C3" w14:textId="5B95006F" w:rsidR="008D57A7" w:rsidRDefault="002C2C33" w:rsidP="00A3602C">
      <w:pPr>
        <w:spacing w:after="0"/>
        <w:ind w:left="360"/>
        <w:jc w:val="both"/>
        <w:rPr>
          <w:rFonts w:eastAsia="Times New Roman" w:cs="Times New Roman"/>
          <w:szCs w:val="24"/>
        </w:rPr>
      </w:pPr>
      <w:r w:rsidRPr="00611403">
        <w:rPr>
          <w:rFonts w:eastAsia="Times New Roman" w:cs="Times New Roman"/>
          <w:szCs w:val="24"/>
        </w:rPr>
        <w:t xml:space="preserve">In Equation (4), </w:t>
      </w:r>
      <m:oMath>
        <m:sSub>
          <m:sSubPr>
            <m:ctrlPr>
              <w:rPr>
                <w:rFonts w:ascii="Cambria Math" w:hAnsi="Cambria Math" w:cs="Times New Roman"/>
                <w:sz w:val="22"/>
              </w:rPr>
            </m:ctrlPr>
          </m:sSubPr>
          <m:e>
            <m:r>
              <w:rPr>
                <w:rFonts w:ascii="Cambria Math" w:eastAsia="Cambria Math" w:hAnsi="Cambria Math" w:cs="Times New Roman"/>
                <w:sz w:val="22"/>
              </w:rPr>
              <m:t>s</m:t>
            </m:r>
          </m:e>
          <m:sub>
            <m:r>
              <w:rPr>
                <w:rFonts w:ascii="Cambria Math" w:eastAsia="Cambria Math" w:hAnsi="Cambria Math" w:cs="Times New Roman"/>
                <w:sz w:val="22"/>
              </w:rPr>
              <m:t>i</m:t>
            </m:r>
          </m:sub>
        </m:sSub>
      </m:oMath>
      <w:r w:rsidRPr="00611403">
        <w:rPr>
          <w:rFonts w:eastAsia="Times New Roman" w:cs="Times New Roman"/>
          <w:szCs w:val="24"/>
        </w:rPr>
        <w:t xml:space="preserve"> denotes the percentage share of province </w:t>
      </w:r>
      <w:r w:rsidRPr="003D6E00">
        <w:rPr>
          <w:rFonts w:eastAsia="Times New Roman" w:cs="Times New Roman"/>
          <w:i/>
          <w:szCs w:val="24"/>
        </w:rPr>
        <w:t>i</w:t>
      </w:r>
      <w:r w:rsidRPr="00611403">
        <w:rPr>
          <w:rFonts w:eastAsia="Times New Roman" w:cs="Times New Roman"/>
          <w:szCs w:val="24"/>
        </w:rPr>
        <w:t xml:space="preserve"> in total provincial QRIS merchants. A higher HHI indicates stronger concentration. The Gini coefficient is calculated using Equation (5) to evaluate inequality in QRIS merchant distribution across provinces</w:t>
      </w:r>
      <w:r w:rsidR="00C04B70" w:rsidRPr="00C04B70">
        <w:rPr>
          <w:rFonts w:eastAsia="Times New Roman" w:cs="Times New Roman"/>
          <w:szCs w:val="24"/>
        </w:rPr>
        <w:t xml:space="preserve">, applying the structural properties reviewed by </w:t>
      </w:r>
      <w:r w:rsidR="00C04B70">
        <w:rPr>
          <w:rFonts w:eastAsia="Times New Roman" w:cs="Times New Roman"/>
          <w:szCs w:val="24"/>
        </w:rPr>
        <w:fldChar w:fldCharType="begin" w:fldLock="1"/>
      </w:r>
      <w:r w:rsidR="00EC665C">
        <w:rPr>
          <w:rFonts w:eastAsia="Times New Roman" w:cs="Times New Roman"/>
          <w:szCs w:val="24"/>
        </w:rPr>
        <w:instrText>ADDIN CSL_CITATION {"citationItems":[{"id":"ITEM-1","itemData":{"DOI":"10.1093/acprof:osobl/9780199594030.001.0001","ISBN":"9780199594030","author":[{"dropping-particle":"","family":"Cowell","given":"Frank","non-dropping-particle":"","parse-names":false,"suffix":""}],"id":"ITEM-1","issued":{"date-parts":[["2011","1","27"]]},"publisher":"Oxford University Press","title":"Measuring Inequality","type":"book"},"uris":["http://www.mendeley.com/documents/?uuid=2bbc5b9b-fe6c-42b9-aaa3-57543fed2d37"]}],"mendeley":{"formattedCitation":"(Cowell, 2011)","manualFormatting":"Cowell, 2011","plainTextFormattedCitation":"(Cowell, 2011)","previouslyFormattedCitation":"(Cowell, 2011)"},"properties":{"noteIndex":0},"schema":"https://github.com/citation-style-language/schema/raw/master/csl-citation.json"}</w:instrText>
      </w:r>
      <w:r w:rsidR="00C04B70">
        <w:rPr>
          <w:rFonts w:eastAsia="Times New Roman" w:cs="Times New Roman"/>
          <w:szCs w:val="24"/>
        </w:rPr>
        <w:fldChar w:fldCharType="separate"/>
      </w:r>
      <w:r w:rsidR="00C04B70" w:rsidRPr="00C04B70">
        <w:rPr>
          <w:rFonts w:eastAsia="Times New Roman" w:cs="Times New Roman"/>
          <w:noProof/>
          <w:szCs w:val="24"/>
        </w:rPr>
        <w:t>Cowell, 2011</w:t>
      </w:r>
      <w:r w:rsidR="00C04B70">
        <w:rPr>
          <w:rFonts w:eastAsia="Times New Roman" w:cs="Times New Roman"/>
          <w:szCs w:val="24"/>
        </w:rPr>
        <w:fldChar w:fldCharType="end"/>
      </w:r>
      <w:r w:rsidR="00C04B70">
        <w:rPr>
          <w:rFonts w:eastAsia="Times New Roman" w:cs="Times New Roman"/>
          <w:szCs w:val="24"/>
        </w:rPr>
        <w:t xml:space="preserve"> :</w:t>
      </w:r>
    </w:p>
    <w:tbl>
      <w:tblPr>
        <w:tblW w:w="0" w:type="auto"/>
        <w:tblBorders>
          <w:top w:val="nil"/>
          <w:left w:val="nil"/>
          <w:bottom w:val="nil"/>
          <w:right w:val="nil"/>
          <w:insideH w:val="nil"/>
          <w:insideV w:val="nil"/>
        </w:tblBorders>
        <w:tblLook w:val="04A0" w:firstRow="1" w:lastRow="0" w:firstColumn="1" w:lastColumn="0" w:noHBand="0" w:noVBand="1"/>
      </w:tblPr>
      <w:tblGrid>
        <w:gridCol w:w="7665"/>
        <w:gridCol w:w="839"/>
      </w:tblGrid>
      <w:tr w:rsidR="008D57A7" w:rsidRPr="00611403" w14:paraId="0AA6345B" w14:textId="77777777" w:rsidTr="002E0667">
        <w:tc>
          <w:tcPr>
            <w:tcW w:w="7665" w:type="dxa"/>
          </w:tcPr>
          <w:p w14:paraId="6FD1EE52" w14:textId="77777777" w:rsidR="008D57A7" w:rsidRPr="009352F1" w:rsidRDefault="002C2C33" w:rsidP="00446304">
            <w:pPr>
              <w:spacing w:after="0"/>
              <w:jc w:val="both"/>
              <w:rPr>
                <w:rFonts w:cs="Times New Roman"/>
                <w:sz w:val="22"/>
              </w:rPr>
            </w:pPr>
            <m:oMathPara>
              <m:oMathParaPr>
                <m:jc m:val="center"/>
              </m:oMathParaPr>
              <m:oMath>
                <m:r>
                  <w:rPr>
                    <w:rFonts w:ascii="Cambria Math" w:eastAsia="Cambria Math" w:hAnsi="Cambria Math" w:cs="Times New Roman"/>
                    <w:sz w:val="22"/>
                  </w:rPr>
                  <m:t>G</m:t>
                </m:r>
                <m:r>
                  <m:rPr>
                    <m:sty m:val="p"/>
                  </m:rPr>
                  <w:rPr>
                    <w:rFonts w:ascii="Cambria Math" w:eastAsia="Cambria Math" w:hAnsi="Cambria Math" w:cs="Times New Roman"/>
                    <w:sz w:val="22"/>
                  </w:rPr>
                  <m:t>=</m:t>
                </m:r>
                <m:f>
                  <m:fPr>
                    <m:ctrlPr>
                      <w:rPr>
                        <w:rFonts w:ascii="Cambria Math" w:hAnsi="Cambria Math" w:cs="Times New Roman"/>
                        <w:sz w:val="22"/>
                      </w:rPr>
                    </m:ctrlPr>
                  </m:fPr>
                  <m:num>
                    <m:nary>
                      <m:naryPr>
                        <m:chr m:val="∑"/>
                        <m:limLoc m:val="undOvr"/>
                        <m:ctrlPr>
                          <w:rPr>
                            <w:rFonts w:ascii="Cambria Math" w:hAnsi="Cambria Math" w:cs="Times New Roman"/>
                            <w:sz w:val="22"/>
                          </w:rPr>
                        </m:ctrlPr>
                      </m:naryPr>
                      <m:sub>
                        <m:r>
                          <w:rPr>
                            <w:rFonts w:ascii="Cambria Math" w:eastAsia="Cambria Math" w:hAnsi="Cambria Math" w:cs="Times New Roman"/>
                            <w:sz w:val="22"/>
                          </w:rPr>
                          <m:t>i</m:t>
                        </m:r>
                        <m:r>
                          <m:rPr>
                            <m:sty m:val="p"/>
                          </m:rPr>
                          <w:rPr>
                            <w:rFonts w:ascii="Cambria Math" w:eastAsia="Cambria Math" w:hAnsi="Cambria Math" w:cs="Times New Roman"/>
                            <w:sz w:val="22"/>
                          </w:rPr>
                          <m:t>=</m:t>
                        </m:r>
                        <m:r>
                          <w:rPr>
                            <w:rFonts w:ascii="Cambria Math" w:eastAsia="Cambria Math" w:hAnsi="Cambria Math" w:cs="Times New Roman"/>
                            <w:sz w:val="22"/>
                          </w:rPr>
                          <m:t>1</m:t>
                        </m:r>
                      </m:sub>
                      <m:sup>
                        <m:r>
                          <w:rPr>
                            <w:rFonts w:ascii="Cambria Math" w:eastAsia="Cambria Math" w:hAnsi="Cambria Math" w:cs="Times New Roman"/>
                            <w:sz w:val="22"/>
                          </w:rPr>
                          <m:t>n</m:t>
                        </m:r>
                      </m:sup>
                      <m:e>
                        <m:nary>
                          <m:naryPr>
                            <m:chr m:val="∑"/>
                            <m:limLoc m:val="undOvr"/>
                            <m:ctrlPr>
                              <w:rPr>
                                <w:rFonts w:ascii="Cambria Math" w:hAnsi="Cambria Math" w:cs="Times New Roman"/>
                                <w:sz w:val="22"/>
                              </w:rPr>
                            </m:ctrlPr>
                          </m:naryPr>
                          <m:sub>
                            <m:r>
                              <w:rPr>
                                <w:rFonts w:ascii="Cambria Math" w:eastAsia="Cambria Math" w:hAnsi="Cambria Math" w:cs="Times New Roman"/>
                                <w:sz w:val="22"/>
                              </w:rPr>
                              <m:t>j</m:t>
                            </m:r>
                            <m:r>
                              <m:rPr>
                                <m:sty m:val="p"/>
                              </m:rPr>
                              <w:rPr>
                                <w:rFonts w:ascii="Cambria Math" w:eastAsia="Cambria Math" w:hAnsi="Cambria Math" w:cs="Times New Roman"/>
                                <w:sz w:val="22"/>
                              </w:rPr>
                              <m:t>=</m:t>
                            </m:r>
                            <m:r>
                              <w:rPr>
                                <w:rFonts w:ascii="Cambria Math" w:eastAsia="Cambria Math" w:hAnsi="Cambria Math" w:cs="Times New Roman"/>
                                <w:sz w:val="22"/>
                              </w:rPr>
                              <m:t>1</m:t>
                            </m:r>
                          </m:sub>
                          <m:sup>
                            <m:r>
                              <w:rPr>
                                <w:rFonts w:ascii="Cambria Math" w:eastAsia="Cambria Math" w:hAnsi="Cambria Math" w:cs="Times New Roman"/>
                                <w:sz w:val="22"/>
                              </w:rPr>
                              <m:t>n</m:t>
                            </m:r>
                          </m:sup>
                          <m:e>
                            <m:d>
                              <m:dPr>
                                <m:begChr m:val="|"/>
                                <m:endChr m:val="|"/>
                                <m:ctrlPr>
                                  <w:rPr>
                                    <w:rFonts w:ascii="Cambria Math" w:hAnsi="Cambria Math" w:cs="Times New Roman"/>
                                    <w:sz w:val="22"/>
                                  </w:rPr>
                                </m:ctrlPr>
                              </m:dPr>
                              <m:e>
                                <m:sSub>
                                  <m:sSubPr>
                                    <m:ctrlPr>
                                      <w:rPr>
                                        <w:rFonts w:ascii="Cambria Math" w:hAnsi="Cambria Math" w:cs="Times New Roman"/>
                                        <w:sz w:val="22"/>
                                      </w:rPr>
                                    </m:ctrlPr>
                                  </m:sSubPr>
                                  <m:e>
                                    <m:r>
                                      <w:rPr>
                                        <w:rFonts w:ascii="Cambria Math" w:eastAsia="Cambria Math" w:hAnsi="Cambria Math" w:cs="Times New Roman"/>
                                        <w:sz w:val="22"/>
                                      </w:rPr>
                                      <m:t>q</m:t>
                                    </m:r>
                                  </m:e>
                                  <m:sub>
                                    <m:r>
                                      <w:rPr>
                                        <w:rFonts w:ascii="Cambria Math" w:eastAsia="Cambria Math" w:hAnsi="Cambria Math" w:cs="Times New Roman"/>
                                        <w:sz w:val="22"/>
                                      </w:rPr>
                                      <m:t>i</m:t>
                                    </m:r>
                                  </m:sub>
                                </m:sSub>
                                <m:r>
                                  <m:rPr>
                                    <m:sty m:val="p"/>
                                  </m:rPr>
                                  <w:rPr>
                                    <w:rFonts w:ascii="Cambria Math" w:eastAsia="Cambria Math" w:hAnsi="Cambria Math" w:cs="Times New Roman"/>
                                    <w:sz w:val="22"/>
                                  </w:rPr>
                                  <m:t>-</m:t>
                                </m:r>
                                <m:sSub>
                                  <m:sSubPr>
                                    <m:ctrlPr>
                                      <w:rPr>
                                        <w:rFonts w:ascii="Cambria Math" w:hAnsi="Cambria Math" w:cs="Times New Roman"/>
                                        <w:sz w:val="22"/>
                                      </w:rPr>
                                    </m:ctrlPr>
                                  </m:sSubPr>
                                  <m:e>
                                    <m:r>
                                      <w:rPr>
                                        <w:rFonts w:ascii="Cambria Math" w:eastAsia="Cambria Math" w:hAnsi="Cambria Math" w:cs="Times New Roman"/>
                                        <w:sz w:val="22"/>
                                      </w:rPr>
                                      <m:t>q</m:t>
                                    </m:r>
                                  </m:e>
                                  <m:sub>
                                    <m:r>
                                      <w:rPr>
                                        <w:rFonts w:ascii="Cambria Math" w:eastAsia="Cambria Math" w:hAnsi="Cambria Math" w:cs="Times New Roman"/>
                                        <w:sz w:val="22"/>
                                      </w:rPr>
                                      <m:t>j</m:t>
                                    </m:r>
                                  </m:sub>
                                </m:sSub>
                              </m:e>
                            </m:d>
                          </m:e>
                        </m:nary>
                      </m:e>
                    </m:nary>
                  </m:num>
                  <m:den>
                    <m:r>
                      <w:rPr>
                        <w:rFonts w:ascii="Cambria Math" w:eastAsia="Cambria Math" w:hAnsi="Cambria Math" w:cs="Times New Roman"/>
                        <w:sz w:val="22"/>
                      </w:rPr>
                      <m:t>2</m:t>
                    </m:r>
                    <m:sSup>
                      <m:sSupPr>
                        <m:ctrlPr>
                          <w:rPr>
                            <w:rFonts w:ascii="Cambria Math" w:hAnsi="Cambria Math" w:cs="Times New Roman"/>
                            <w:sz w:val="22"/>
                          </w:rPr>
                        </m:ctrlPr>
                      </m:sSupPr>
                      <m:e>
                        <m:r>
                          <w:rPr>
                            <w:rFonts w:ascii="Cambria Math" w:eastAsia="Cambria Math" w:hAnsi="Cambria Math" w:cs="Times New Roman"/>
                            <w:sz w:val="22"/>
                          </w:rPr>
                          <m:t>n</m:t>
                        </m:r>
                      </m:e>
                      <m:sup>
                        <m:r>
                          <w:rPr>
                            <w:rFonts w:ascii="Cambria Math" w:eastAsia="Cambria Math" w:hAnsi="Cambria Math" w:cs="Times New Roman"/>
                            <w:sz w:val="22"/>
                          </w:rPr>
                          <m:t>2</m:t>
                        </m:r>
                      </m:sup>
                    </m:sSup>
                    <m:sSub>
                      <m:sSubPr>
                        <m:ctrlPr>
                          <w:rPr>
                            <w:rFonts w:ascii="Cambria Math" w:hAnsi="Cambria Math" w:cs="Times New Roman"/>
                            <w:sz w:val="22"/>
                          </w:rPr>
                        </m:ctrlPr>
                      </m:sSubPr>
                      <m:e>
                        <m:r>
                          <w:rPr>
                            <w:rFonts w:ascii="Cambria Math" w:eastAsia="Cambria Math" w:hAnsi="Cambria Math" w:cs="Times New Roman"/>
                            <w:sz w:val="22"/>
                          </w:rPr>
                          <m:t>μ</m:t>
                        </m:r>
                      </m:e>
                      <m:sub>
                        <m:r>
                          <w:rPr>
                            <w:rFonts w:ascii="Cambria Math" w:eastAsia="Cambria Math" w:hAnsi="Cambria Math" w:cs="Times New Roman"/>
                            <w:sz w:val="22"/>
                          </w:rPr>
                          <m:t>q</m:t>
                        </m:r>
                      </m:sub>
                    </m:sSub>
                  </m:den>
                </m:f>
              </m:oMath>
            </m:oMathPara>
          </w:p>
        </w:tc>
        <w:tc>
          <w:tcPr>
            <w:tcW w:w="839" w:type="dxa"/>
          </w:tcPr>
          <w:p w14:paraId="63B0A491" w14:textId="77777777" w:rsidR="008D57A7" w:rsidRPr="00611403" w:rsidRDefault="002C2C33" w:rsidP="00446304">
            <w:pPr>
              <w:spacing w:after="0"/>
              <w:jc w:val="both"/>
              <w:rPr>
                <w:rFonts w:cs="Times New Roman"/>
                <w:szCs w:val="24"/>
              </w:rPr>
            </w:pPr>
            <w:r w:rsidRPr="00611403">
              <w:rPr>
                <w:rFonts w:eastAsia="Times New Roman" w:cs="Times New Roman"/>
                <w:szCs w:val="24"/>
              </w:rPr>
              <w:t>(5)</w:t>
            </w:r>
          </w:p>
        </w:tc>
      </w:tr>
    </w:tbl>
    <w:p w14:paraId="25334D32" w14:textId="70C0B1A4" w:rsidR="008D57A7" w:rsidRDefault="002C2C33" w:rsidP="00A3602C">
      <w:pPr>
        <w:spacing w:after="0"/>
        <w:ind w:left="360"/>
        <w:jc w:val="both"/>
        <w:rPr>
          <w:rFonts w:eastAsia="Times New Roman" w:cs="Times New Roman"/>
          <w:szCs w:val="24"/>
        </w:rPr>
      </w:pPr>
      <w:r w:rsidRPr="00611403">
        <w:rPr>
          <w:rFonts w:eastAsia="Times New Roman" w:cs="Times New Roman"/>
          <w:szCs w:val="24"/>
        </w:rPr>
        <w:t xml:space="preserve">In Equation (5), </w:t>
      </w:r>
      <m:oMath>
        <m:sSub>
          <m:sSubPr>
            <m:ctrlPr>
              <w:rPr>
                <w:rFonts w:ascii="Cambria Math" w:hAnsi="Cambria Math" w:cs="Times New Roman"/>
                <w:sz w:val="22"/>
              </w:rPr>
            </m:ctrlPr>
          </m:sSubPr>
          <m:e>
            <m:r>
              <w:rPr>
                <w:rFonts w:ascii="Cambria Math" w:eastAsia="Cambria Math" w:hAnsi="Cambria Math" w:cs="Times New Roman"/>
                <w:sz w:val="22"/>
              </w:rPr>
              <m:t>q</m:t>
            </m:r>
          </m:e>
          <m:sub>
            <m:r>
              <w:rPr>
                <w:rFonts w:ascii="Cambria Math" w:eastAsia="Cambria Math" w:hAnsi="Cambria Math" w:cs="Times New Roman"/>
                <w:sz w:val="22"/>
              </w:rPr>
              <m:t>i</m:t>
            </m:r>
          </m:sub>
        </m:sSub>
      </m:oMath>
      <w:r w:rsidRPr="00611403">
        <w:rPr>
          <w:rFonts w:eastAsia="Times New Roman" w:cs="Times New Roman"/>
          <w:szCs w:val="24"/>
        </w:rPr>
        <w:t xml:space="preserve"> and </w:t>
      </w:r>
      <m:oMath>
        <m:sSub>
          <m:sSubPr>
            <m:ctrlPr>
              <w:rPr>
                <w:rFonts w:ascii="Cambria Math" w:hAnsi="Cambria Math" w:cs="Times New Roman"/>
                <w:sz w:val="22"/>
              </w:rPr>
            </m:ctrlPr>
          </m:sSubPr>
          <m:e>
            <m:r>
              <w:rPr>
                <w:rFonts w:ascii="Cambria Math" w:eastAsia="Cambria Math" w:hAnsi="Cambria Math" w:cs="Times New Roman"/>
                <w:sz w:val="22"/>
              </w:rPr>
              <m:t>q</m:t>
            </m:r>
          </m:e>
          <m:sub>
            <m:r>
              <w:rPr>
                <w:rFonts w:ascii="Cambria Math" w:eastAsia="Cambria Math" w:hAnsi="Cambria Math" w:cs="Times New Roman"/>
                <w:sz w:val="22"/>
              </w:rPr>
              <m:t>j</m:t>
            </m:r>
          </m:sub>
        </m:sSub>
      </m:oMath>
      <w:r w:rsidRPr="00611403">
        <w:rPr>
          <w:rFonts w:eastAsia="Times New Roman" w:cs="Times New Roman"/>
          <w:szCs w:val="24"/>
        </w:rPr>
        <w:t xml:space="preserve"> denote QRIS merchant counts in provinces </w:t>
      </w:r>
      <w:r w:rsidRPr="00E16258">
        <w:rPr>
          <w:rFonts w:eastAsia="Times New Roman" w:cs="Times New Roman"/>
          <w:i/>
          <w:szCs w:val="24"/>
        </w:rPr>
        <w:t>i</w:t>
      </w:r>
      <w:r w:rsidRPr="00611403">
        <w:rPr>
          <w:rFonts w:eastAsia="Times New Roman" w:cs="Times New Roman"/>
          <w:szCs w:val="24"/>
        </w:rPr>
        <w:t xml:space="preserve"> and </w:t>
      </w:r>
      <w:r w:rsidRPr="00E16258">
        <w:rPr>
          <w:rFonts w:eastAsia="Times New Roman" w:cs="Times New Roman"/>
          <w:i/>
          <w:szCs w:val="24"/>
        </w:rPr>
        <w:t>j</w:t>
      </w:r>
      <w:r w:rsidRPr="00611403">
        <w:rPr>
          <w:rFonts w:eastAsia="Times New Roman" w:cs="Times New Roman"/>
          <w:szCs w:val="24"/>
        </w:rPr>
        <w:t xml:space="preserve">, </w:t>
      </w:r>
      <w:r w:rsidRPr="00E16258">
        <w:rPr>
          <w:rFonts w:eastAsia="Times New Roman" w:cs="Times New Roman"/>
          <w:i/>
          <w:szCs w:val="24"/>
        </w:rPr>
        <w:t>n</w:t>
      </w:r>
      <w:r w:rsidRPr="00611403">
        <w:rPr>
          <w:rFonts w:eastAsia="Times New Roman" w:cs="Times New Roman"/>
          <w:szCs w:val="24"/>
        </w:rPr>
        <w:t xml:space="preserve"> is the number of provinces, and </w:t>
      </w:r>
      <m:oMath>
        <m:sSub>
          <m:sSubPr>
            <m:ctrlPr>
              <w:rPr>
                <w:rFonts w:ascii="Cambria Math" w:hAnsi="Cambria Math" w:cs="Times New Roman"/>
                <w:sz w:val="22"/>
              </w:rPr>
            </m:ctrlPr>
          </m:sSubPr>
          <m:e>
            <m:r>
              <w:rPr>
                <w:rFonts w:ascii="Cambria Math" w:eastAsia="Cambria Math" w:hAnsi="Cambria Math" w:cs="Times New Roman"/>
                <w:sz w:val="22"/>
              </w:rPr>
              <m:t>μ</m:t>
            </m:r>
          </m:e>
          <m:sub>
            <m:r>
              <w:rPr>
                <w:rFonts w:ascii="Cambria Math" w:eastAsia="Cambria Math" w:hAnsi="Cambria Math" w:cs="Times New Roman"/>
                <w:sz w:val="22"/>
              </w:rPr>
              <m:t>q</m:t>
            </m:r>
          </m:sub>
        </m:sSub>
      </m:oMath>
      <w:r w:rsidRPr="00611403">
        <w:rPr>
          <w:rFonts w:eastAsia="Times New Roman" w:cs="Times New Roman"/>
          <w:szCs w:val="24"/>
        </w:rPr>
        <w:t xml:space="preserve"> is the mean provincial QRIS merchant count. Fifth, the study compares provincial QRIS merchant counts with internet-access indicators. Because QRIS merchant counts are highly skewed toward a small number of large provinces, a log-transformed QRIS variable is also used, as stated in Equation (6), where </w:t>
      </w:r>
      <m:oMath>
        <m:sSub>
          <m:sSubPr>
            <m:ctrlPr>
              <w:rPr>
                <w:rFonts w:ascii="Cambria Math" w:hAnsi="Cambria Math" w:cs="Times New Roman"/>
                <w:sz w:val="22"/>
              </w:rPr>
            </m:ctrlPr>
          </m:sSubPr>
          <m:e>
            <m:r>
              <w:rPr>
                <w:rFonts w:ascii="Cambria Math" w:eastAsia="Cambria Math" w:hAnsi="Cambria Math" w:cs="Times New Roman"/>
                <w:sz w:val="22"/>
              </w:rPr>
              <m:t>L</m:t>
            </m:r>
          </m:e>
          <m:sub>
            <m:r>
              <w:rPr>
                <w:rFonts w:ascii="Cambria Math" w:eastAsia="Cambria Math" w:hAnsi="Cambria Math" w:cs="Times New Roman"/>
                <w:sz w:val="22"/>
              </w:rPr>
              <m:t>i</m:t>
            </m:r>
          </m:sub>
        </m:sSub>
      </m:oMath>
      <w:r w:rsidRPr="00611403">
        <w:rPr>
          <w:rFonts w:eastAsia="Times New Roman" w:cs="Times New Roman"/>
          <w:szCs w:val="24"/>
        </w:rPr>
        <w:t xml:space="preserve"> is the natural logarithm of provincial QRIS merchant count</w:t>
      </w:r>
      <w:r w:rsidR="00EC665C">
        <w:rPr>
          <w:rFonts w:eastAsia="Times New Roman" w:cs="Times New Roman"/>
          <w:szCs w:val="24"/>
        </w:rPr>
        <w:t xml:space="preserve"> </w:t>
      </w:r>
      <w:r w:rsidR="00EC665C" w:rsidRPr="00EC665C">
        <w:rPr>
          <w:rFonts w:eastAsia="Times New Roman" w:cs="Times New Roman"/>
          <w:szCs w:val="24"/>
        </w:rPr>
        <w:t>adhering to the functional form transformation principles for skewed data described by</w:t>
      </w:r>
      <w:r w:rsidR="00EC665C">
        <w:rPr>
          <w:rFonts w:eastAsia="Times New Roman" w:cs="Times New Roman"/>
          <w:szCs w:val="24"/>
        </w:rPr>
        <w:t xml:space="preserve"> </w:t>
      </w:r>
      <w:r w:rsidR="00EC665C">
        <w:rPr>
          <w:rFonts w:eastAsia="Times New Roman" w:cs="Times New Roman"/>
          <w:szCs w:val="24"/>
        </w:rPr>
        <w:fldChar w:fldCharType="begin" w:fldLock="1"/>
      </w:r>
      <w:r w:rsidR="002427D2">
        <w:rPr>
          <w:rFonts w:eastAsia="Times New Roman" w:cs="Times New Roman"/>
          <w:szCs w:val="24"/>
        </w:rPr>
        <w:instrText>ADDIN CSL_CITATION {"citationItems":[{"id":"ITEM-1","itemData":{"ISBN":"978-1-337-55886-0","author":[{"dropping-particle":"","family":"Wooldridge","given":"J. M","non-dropping-particle":"","parse-names":false,"suffix":""}],"container-title":"Cengage Learning","edition":"7th ed","id":"ITEM-1","issued":{"date-parts":[["2020"]]},"page":"848","publisher-place":"USA","title":"Introductory Econometrics: A Modern Approach","type":"chapter"},"uris":["http://www.mendeley.com/documents/?uuid=f2a722b4-8fd8-4d51-96bc-50ef5ce7eda8"]}],"mendeley":{"formattedCitation":"(Wooldridge, 2020)","manualFormatting":"Wooldridge, 2020","plainTextFormattedCitation":"(Wooldridge, 2020)","previouslyFormattedCitation":"(Wooldridge, 2020)"},"properties":{"noteIndex":0},"schema":"https://github.com/citation-style-language/schema/raw/master/csl-citation.json"}</w:instrText>
      </w:r>
      <w:r w:rsidR="00EC665C">
        <w:rPr>
          <w:rFonts w:eastAsia="Times New Roman" w:cs="Times New Roman"/>
          <w:szCs w:val="24"/>
        </w:rPr>
        <w:fldChar w:fldCharType="separate"/>
      </w:r>
      <w:r w:rsidR="00EC665C" w:rsidRPr="00EC665C">
        <w:rPr>
          <w:rFonts w:eastAsia="Times New Roman" w:cs="Times New Roman"/>
          <w:noProof/>
          <w:szCs w:val="24"/>
        </w:rPr>
        <w:t>Wooldridge, 2020</w:t>
      </w:r>
      <w:r w:rsidR="00EC665C">
        <w:rPr>
          <w:rFonts w:eastAsia="Times New Roman" w:cs="Times New Roman"/>
          <w:szCs w:val="24"/>
        </w:rPr>
        <w:fldChar w:fldCharType="end"/>
      </w:r>
      <w:r w:rsidR="00EC665C">
        <w:rPr>
          <w:rFonts w:eastAsia="Times New Roman" w:cs="Times New Roman"/>
          <w:szCs w:val="24"/>
        </w:rPr>
        <w:t xml:space="preserve"> :</w:t>
      </w:r>
    </w:p>
    <w:tbl>
      <w:tblPr>
        <w:tblW w:w="0" w:type="auto"/>
        <w:tblBorders>
          <w:top w:val="nil"/>
          <w:left w:val="nil"/>
          <w:bottom w:val="nil"/>
          <w:right w:val="nil"/>
          <w:insideH w:val="nil"/>
          <w:insideV w:val="nil"/>
        </w:tblBorders>
        <w:tblLook w:val="04A0" w:firstRow="1" w:lastRow="0" w:firstColumn="1" w:lastColumn="0" w:noHBand="0" w:noVBand="1"/>
      </w:tblPr>
      <w:tblGrid>
        <w:gridCol w:w="7661"/>
        <w:gridCol w:w="843"/>
      </w:tblGrid>
      <w:tr w:rsidR="008D57A7" w:rsidRPr="00611403" w14:paraId="7BC5B27F" w14:textId="77777777" w:rsidTr="002E0667">
        <w:tc>
          <w:tcPr>
            <w:tcW w:w="7661" w:type="dxa"/>
          </w:tcPr>
          <w:p w14:paraId="78F8A636" w14:textId="77777777" w:rsidR="008D57A7" w:rsidRPr="009352F1" w:rsidRDefault="00000000" w:rsidP="00446304">
            <w:pPr>
              <w:spacing w:after="0"/>
              <w:jc w:val="both"/>
              <w:rPr>
                <w:rFonts w:cs="Times New Roman"/>
                <w:sz w:val="22"/>
              </w:rPr>
            </w:pPr>
            <m:oMathPara>
              <m:oMathParaPr>
                <m:jc m:val="center"/>
              </m:oMathParaPr>
              <m:oMath>
                <m:sSub>
                  <m:sSubPr>
                    <m:ctrlPr>
                      <w:rPr>
                        <w:rFonts w:ascii="Cambria Math" w:hAnsi="Cambria Math" w:cs="Times New Roman"/>
                        <w:sz w:val="22"/>
                      </w:rPr>
                    </m:ctrlPr>
                  </m:sSubPr>
                  <m:e>
                    <m:r>
                      <w:rPr>
                        <w:rFonts w:ascii="Cambria Math" w:eastAsia="Cambria Math" w:hAnsi="Cambria Math" w:cs="Times New Roman"/>
                        <w:sz w:val="22"/>
                      </w:rPr>
                      <m:t>L</m:t>
                    </m:r>
                  </m:e>
                  <m:sub>
                    <m:r>
                      <w:rPr>
                        <w:rFonts w:ascii="Cambria Math" w:eastAsia="Cambria Math" w:hAnsi="Cambria Math" w:cs="Times New Roman"/>
                        <w:sz w:val="22"/>
                      </w:rPr>
                      <m:t>i</m:t>
                    </m:r>
                  </m:sub>
                </m:sSub>
                <m:r>
                  <m:rPr>
                    <m:sty m:val="p"/>
                  </m:rPr>
                  <w:rPr>
                    <w:rFonts w:ascii="Cambria Math" w:eastAsia="Cambria Math" w:hAnsi="Cambria Math" w:cs="Times New Roman"/>
                    <w:sz w:val="22"/>
                  </w:rPr>
                  <m:t>=ln</m:t>
                </m:r>
                <m:d>
                  <m:dPr>
                    <m:ctrlPr>
                      <w:rPr>
                        <w:rFonts w:ascii="Cambria Math" w:hAnsi="Cambria Math" w:cs="Times New Roman"/>
                        <w:sz w:val="22"/>
                      </w:rPr>
                    </m:ctrlPr>
                  </m:dPr>
                  <m:e>
                    <m:sSub>
                      <m:sSubPr>
                        <m:ctrlPr>
                          <w:rPr>
                            <w:rFonts w:ascii="Cambria Math" w:hAnsi="Cambria Math" w:cs="Times New Roman"/>
                            <w:sz w:val="22"/>
                          </w:rPr>
                        </m:ctrlPr>
                      </m:sSubPr>
                      <m:e>
                        <m:r>
                          <w:rPr>
                            <w:rFonts w:ascii="Cambria Math" w:eastAsia="Cambria Math" w:hAnsi="Cambria Math" w:cs="Times New Roman"/>
                            <w:sz w:val="22"/>
                          </w:rPr>
                          <m:t>Q</m:t>
                        </m:r>
                      </m:e>
                      <m:sub>
                        <m:r>
                          <w:rPr>
                            <w:rFonts w:ascii="Cambria Math" w:eastAsia="Cambria Math" w:hAnsi="Cambria Math" w:cs="Times New Roman"/>
                            <w:sz w:val="22"/>
                          </w:rPr>
                          <m:t>i</m:t>
                        </m:r>
                      </m:sub>
                    </m:sSub>
                  </m:e>
                </m:d>
              </m:oMath>
            </m:oMathPara>
          </w:p>
        </w:tc>
        <w:tc>
          <w:tcPr>
            <w:tcW w:w="843" w:type="dxa"/>
          </w:tcPr>
          <w:p w14:paraId="760D6AC3" w14:textId="77777777" w:rsidR="008D57A7" w:rsidRPr="00611403" w:rsidRDefault="002C2C33" w:rsidP="00446304">
            <w:pPr>
              <w:spacing w:after="0"/>
              <w:jc w:val="both"/>
              <w:rPr>
                <w:rFonts w:cs="Times New Roman"/>
                <w:szCs w:val="24"/>
              </w:rPr>
            </w:pPr>
            <w:r w:rsidRPr="00611403">
              <w:rPr>
                <w:rFonts w:eastAsia="Times New Roman" w:cs="Times New Roman"/>
                <w:szCs w:val="24"/>
              </w:rPr>
              <w:t>(6)</w:t>
            </w:r>
          </w:p>
        </w:tc>
      </w:tr>
    </w:tbl>
    <w:p w14:paraId="6A5DB57C" w14:textId="77777777" w:rsidR="00E16258" w:rsidRDefault="00E16258" w:rsidP="00446304">
      <w:pPr>
        <w:spacing w:after="0"/>
        <w:jc w:val="both"/>
        <w:rPr>
          <w:rFonts w:eastAsia="Times New Roman" w:cs="Times New Roman"/>
          <w:szCs w:val="24"/>
        </w:rPr>
      </w:pPr>
    </w:p>
    <w:p w14:paraId="28083FEC" w14:textId="77777777" w:rsidR="008D57A7" w:rsidRPr="00611403" w:rsidRDefault="002C2C33" w:rsidP="00A3602C">
      <w:pPr>
        <w:spacing w:after="0"/>
        <w:ind w:left="360"/>
        <w:jc w:val="both"/>
        <w:rPr>
          <w:rFonts w:cs="Times New Roman"/>
          <w:szCs w:val="24"/>
        </w:rPr>
      </w:pPr>
      <w:r w:rsidRPr="00611403">
        <w:rPr>
          <w:rFonts w:eastAsia="Times New Roman" w:cs="Times New Roman"/>
          <w:szCs w:val="24"/>
        </w:rPr>
        <w:t xml:space="preserve">The urban-rural internet-access gap is calculated using Equation (7), where </w:t>
      </w:r>
      <m:oMath>
        <m:sSub>
          <m:sSubPr>
            <m:ctrlPr>
              <w:rPr>
                <w:rFonts w:ascii="Cambria Math" w:hAnsi="Cambria Math" w:cs="Times New Roman"/>
                <w:sz w:val="22"/>
              </w:rPr>
            </m:ctrlPr>
          </m:sSubPr>
          <m:e>
            <m:r>
              <w:rPr>
                <w:rFonts w:ascii="Cambria Math" w:eastAsia="Cambria Math" w:hAnsi="Cambria Math" w:cs="Times New Roman"/>
                <w:sz w:val="22"/>
              </w:rPr>
              <m:t>D</m:t>
            </m:r>
          </m:e>
          <m:sub>
            <m:r>
              <w:rPr>
                <w:rFonts w:ascii="Cambria Math" w:eastAsia="Cambria Math" w:hAnsi="Cambria Math" w:cs="Times New Roman"/>
                <w:sz w:val="22"/>
              </w:rPr>
              <m:t>i</m:t>
            </m:r>
          </m:sub>
        </m:sSub>
      </m:oMath>
      <w:r w:rsidRPr="00611403">
        <w:rPr>
          <w:rFonts w:eastAsia="Times New Roman" w:cs="Times New Roman"/>
          <w:szCs w:val="24"/>
        </w:rPr>
        <w:t xml:space="preserve"> denotes the gap and </w:t>
      </w:r>
      <m:oMath>
        <m:sSub>
          <m:sSubPr>
            <m:ctrlPr>
              <w:rPr>
                <w:rFonts w:ascii="Cambria Math" w:hAnsi="Cambria Math" w:cs="Times New Roman"/>
                <w:sz w:val="22"/>
              </w:rPr>
            </m:ctrlPr>
          </m:sSubPr>
          <m:e>
            <m:r>
              <w:rPr>
                <w:rFonts w:ascii="Cambria Math" w:eastAsia="Cambria Math" w:hAnsi="Cambria Math" w:cs="Times New Roman"/>
                <w:sz w:val="22"/>
              </w:rPr>
              <m:t>U</m:t>
            </m:r>
          </m:e>
          <m:sub>
            <m:r>
              <w:rPr>
                <w:rFonts w:ascii="Cambria Math" w:eastAsia="Cambria Math" w:hAnsi="Cambria Math" w:cs="Times New Roman"/>
                <w:sz w:val="22"/>
              </w:rPr>
              <m:t>i</m:t>
            </m:r>
          </m:sub>
        </m:sSub>
      </m:oMath>
      <w:r w:rsidRPr="00611403">
        <w:rPr>
          <w:rFonts w:eastAsia="Times New Roman" w:cs="Times New Roman"/>
          <w:szCs w:val="24"/>
        </w:rPr>
        <w:t xml:space="preserve"> and </w:t>
      </w:r>
      <m:oMath>
        <m:sSub>
          <m:sSubPr>
            <m:ctrlPr>
              <w:rPr>
                <w:rFonts w:ascii="Cambria Math" w:hAnsi="Cambria Math" w:cs="Times New Roman"/>
                <w:sz w:val="22"/>
              </w:rPr>
            </m:ctrlPr>
          </m:sSubPr>
          <m:e>
            <m:r>
              <w:rPr>
                <w:rFonts w:ascii="Cambria Math" w:eastAsia="Cambria Math" w:hAnsi="Cambria Math" w:cs="Times New Roman"/>
                <w:sz w:val="22"/>
              </w:rPr>
              <m:t>R</m:t>
            </m:r>
          </m:e>
          <m:sub>
            <m:r>
              <w:rPr>
                <w:rFonts w:ascii="Cambria Math" w:eastAsia="Cambria Math" w:hAnsi="Cambria Math" w:cs="Times New Roman"/>
                <w:sz w:val="22"/>
              </w:rPr>
              <m:t>i</m:t>
            </m:r>
          </m:sub>
        </m:sSub>
      </m:oMath>
      <w:r w:rsidRPr="00611403">
        <w:rPr>
          <w:rFonts w:eastAsia="Times New Roman" w:cs="Times New Roman"/>
          <w:szCs w:val="24"/>
        </w:rPr>
        <w:t xml:space="preserve"> denote the urban and rural internet-access rates of province </w:t>
      </w:r>
      <w:proofErr w:type="spellStart"/>
      <w:r w:rsidRPr="008B7C91">
        <w:rPr>
          <w:rFonts w:eastAsia="Times New Roman" w:cs="Times New Roman"/>
          <w:i/>
          <w:szCs w:val="24"/>
        </w:rPr>
        <w:t>i</w:t>
      </w:r>
      <w:proofErr w:type="spellEnd"/>
      <w:r w:rsidRPr="00611403">
        <w:rPr>
          <w:rFonts w:eastAsia="Times New Roman" w:cs="Times New Roman"/>
          <w:szCs w:val="24"/>
        </w:rPr>
        <w:t>.</w:t>
      </w:r>
    </w:p>
    <w:tbl>
      <w:tblPr>
        <w:tblW w:w="0" w:type="auto"/>
        <w:tblBorders>
          <w:top w:val="nil"/>
          <w:left w:val="nil"/>
          <w:bottom w:val="nil"/>
          <w:right w:val="nil"/>
          <w:insideH w:val="nil"/>
          <w:insideV w:val="nil"/>
        </w:tblBorders>
        <w:tblLook w:val="04A0" w:firstRow="1" w:lastRow="0" w:firstColumn="1" w:lastColumn="0" w:noHBand="0" w:noVBand="1"/>
      </w:tblPr>
      <w:tblGrid>
        <w:gridCol w:w="7660"/>
        <w:gridCol w:w="844"/>
      </w:tblGrid>
      <w:tr w:rsidR="008D57A7" w:rsidRPr="00611403" w14:paraId="61A38E6D" w14:textId="77777777">
        <w:tc>
          <w:tcPr>
            <w:tcW w:w="8064" w:type="dxa"/>
          </w:tcPr>
          <w:p w14:paraId="5F890D76" w14:textId="77777777" w:rsidR="008D57A7" w:rsidRPr="009352F1" w:rsidRDefault="00000000" w:rsidP="00446304">
            <w:pPr>
              <w:spacing w:after="0"/>
              <w:jc w:val="both"/>
              <w:rPr>
                <w:rFonts w:cs="Times New Roman"/>
                <w:sz w:val="22"/>
              </w:rPr>
            </w:pPr>
            <m:oMathPara>
              <m:oMathParaPr>
                <m:jc m:val="center"/>
              </m:oMathParaPr>
              <m:oMath>
                <m:sSub>
                  <m:sSubPr>
                    <m:ctrlPr>
                      <w:rPr>
                        <w:rFonts w:ascii="Cambria Math" w:hAnsi="Cambria Math" w:cs="Times New Roman"/>
                        <w:sz w:val="22"/>
                      </w:rPr>
                    </m:ctrlPr>
                  </m:sSubPr>
                  <m:e>
                    <m:r>
                      <w:rPr>
                        <w:rFonts w:ascii="Cambria Math" w:eastAsia="Cambria Math" w:hAnsi="Cambria Math" w:cs="Times New Roman"/>
                        <w:sz w:val="22"/>
                      </w:rPr>
                      <m:t>D</m:t>
                    </m:r>
                  </m:e>
                  <m:sub>
                    <m:r>
                      <w:rPr>
                        <w:rFonts w:ascii="Cambria Math" w:eastAsia="Cambria Math" w:hAnsi="Cambria Math" w:cs="Times New Roman"/>
                        <w:sz w:val="22"/>
                      </w:rPr>
                      <m:t>i</m:t>
                    </m:r>
                  </m:sub>
                </m:sSub>
                <m:r>
                  <m:rPr>
                    <m:sty m:val="p"/>
                  </m:rPr>
                  <w:rPr>
                    <w:rFonts w:ascii="Cambria Math" w:eastAsia="Cambria Math" w:hAnsi="Cambria Math" w:cs="Times New Roman"/>
                    <w:sz w:val="22"/>
                  </w:rPr>
                  <m:t>=</m:t>
                </m:r>
                <m:sSub>
                  <m:sSubPr>
                    <m:ctrlPr>
                      <w:rPr>
                        <w:rFonts w:ascii="Cambria Math" w:hAnsi="Cambria Math" w:cs="Times New Roman"/>
                        <w:sz w:val="22"/>
                      </w:rPr>
                    </m:ctrlPr>
                  </m:sSubPr>
                  <m:e>
                    <m:r>
                      <w:rPr>
                        <w:rFonts w:ascii="Cambria Math" w:eastAsia="Cambria Math" w:hAnsi="Cambria Math" w:cs="Times New Roman"/>
                        <w:sz w:val="22"/>
                      </w:rPr>
                      <m:t>U</m:t>
                    </m:r>
                  </m:e>
                  <m:sub>
                    <m:r>
                      <w:rPr>
                        <w:rFonts w:ascii="Cambria Math" w:eastAsia="Cambria Math" w:hAnsi="Cambria Math" w:cs="Times New Roman"/>
                        <w:sz w:val="22"/>
                      </w:rPr>
                      <m:t>i</m:t>
                    </m:r>
                  </m:sub>
                </m:sSub>
                <m:r>
                  <m:rPr>
                    <m:sty m:val="p"/>
                  </m:rPr>
                  <w:rPr>
                    <w:rFonts w:ascii="Cambria Math" w:eastAsia="Cambria Math" w:hAnsi="Cambria Math" w:cs="Times New Roman"/>
                    <w:sz w:val="22"/>
                  </w:rPr>
                  <m:t>-</m:t>
                </m:r>
                <m:sSub>
                  <m:sSubPr>
                    <m:ctrlPr>
                      <w:rPr>
                        <w:rFonts w:ascii="Cambria Math" w:hAnsi="Cambria Math" w:cs="Times New Roman"/>
                        <w:sz w:val="22"/>
                      </w:rPr>
                    </m:ctrlPr>
                  </m:sSubPr>
                  <m:e>
                    <m:r>
                      <w:rPr>
                        <w:rFonts w:ascii="Cambria Math" w:eastAsia="Cambria Math" w:hAnsi="Cambria Math" w:cs="Times New Roman"/>
                        <w:sz w:val="22"/>
                      </w:rPr>
                      <m:t>R</m:t>
                    </m:r>
                  </m:e>
                  <m:sub>
                    <m:r>
                      <w:rPr>
                        <w:rFonts w:ascii="Cambria Math" w:eastAsia="Cambria Math" w:hAnsi="Cambria Math" w:cs="Times New Roman"/>
                        <w:sz w:val="22"/>
                      </w:rPr>
                      <m:t>i</m:t>
                    </m:r>
                  </m:sub>
                </m:sSub>
              </m:oMath>
            </m:oMathPara>
          </w:p>
        </w:tc>
        <w:tc>
          <w:tcPr>
            <w:tcW w:w="864" w:type="dxa"/>
          </w:tcPr>
          <w:p w14:paraId="27D641B5" w14:textId="77777777" w:rsidR="008D57A7" w:rsidRPr="00611403" w:rsidRDefault="002C2C33" w:rsidP="00446304">
            <w:pPr>
              <w:spacing w:after="0"/>
              <w:jc w:val="both"/>
              <w:rPr>
                <w:rFonts w:cs="Times New Roman"/>
                <w:szCs w:val="24"/>
              </w:rPr>
            </w:pPr>
            <w:r w:rsidRPr="00611403">
              <w:rPr>
                <w:rFonts w:eastAsia="Times New Roman" w:cs="Times New Roman"/>
                <w:szCs w:val="24"/>
              </w:rPr>
              <w:t>(7)</w:t>
            </w:r>
          </w:p>
        </w:tc>
      </w:tr>
    </w:tbl>
    <w:p w14:paraId="5A9BC4FC" w14:textId="77777777" w:rsidR="008D57A7" w:rsidRPr="00611403" w:rsidRDefault="002C2C33" w:rsidP="00A3602C">
      <w:pPr>
        <w:spacing w:after="0"/>
        <w:ind w:left="360"/>
        <w:jc w:val="both"/>
        <w:rPr>
          <w:rFonts w:cs="Times New Roman"/>
          <w:szCs w:val="24"/>
        </w:rPr>
      </w:pPr>
      <w:r w:rsidRPr="00611403">
        <w:rPr>
          <w:rFonts w:eastAsia="Times New Roman" w:cs="Times New Roman"/>
          <w:szCs w:val="24"/>
        </w:rPr>
        <w:t>Sixth, provinces are grouped into a four-quadrant digital-readiness typology using the median QRIS merchant count and median total internet-access rate as thresholds. The typology is a diagnostic policy tool, not a definitive performance ranking. It separates provinces into high-QRIS-high-internet, low-QRIS-high-internet, high-QRIS-low-</w:t>
      </w:r>
      <w:r w:rsidRPr="00611403">
        <w:rPr>
          <w:rFonts w:eastAsia="Times New Roman" w:cs="Times New Roman"/>
          <w:szCs w:val="24"/>
        </w:rPr>
        <w:lastRenderedPageBreak/>
        <w:t>internet, and low-QRIS-low-internet groups. This classification helps translate the empirical results into regionally differentiated policy recommendations.</w:t>
      </w:r>
    </w:p>
    <w:p w14:paraId="24E0EC23" w14:textId="77777777" w:rsidR="008D57A7" w:rsidRDefault="002C2C33" w:rsidP="00B9201E">
      <w:pPr>
        <w:spacing w:after="0"/>
        <w:ind w:left="360"/>
        <w:jc w:val="both"/>
        <w:rPr>
          <w:rFonts w:eastAsia="Times New Roman" w:cs="Times New Roman"/>
          <w:szCs w:val="24"/>
        </w:rPr>
      </w:pPr>
      <w:r w:rsidRPr="00611403">
        <w:rPr>
          <w:rFonts w:eastAsia="Times New Roman" w:cs="Times New Roman"/>
          <w:szCs w:val="24"/>
        </w:rPr>
        <w:t>All equations are placed directly in the body of the manuscript and numbered at the right margin. The results are interpreted conservatively. Correlation coefficients do not establish causality; registered QRIS merchants are not equivalent to active merchants; and provincial QRIS merchant counts are absolute counts rather than per-capita merchant density. Therefore, the evidence is used to identify access, capability, financing, and connectivity gaps rather than to make causal claims about MSME scalability.</w:t>
      </w:r>
    </w:p>
    <w:p w14:paraId="63CFC677" w14:textId="77777777" w:rsidR="00B9201E" w:rsidRPr="00611403" w:rsidRDefault="00B9201E" w:rsidP="00B9201E">
      <w:pPr>
        <w:spacing w:after="0"/>
        <w:ind w:left="360"/>
        <w:jc w:val="both"/>
        <w:rPr>
          <w:rFonts w:cs="Times New Roman"/>
          <w:szCs w:val="24"/>
        </w:rPr>
      </w:pPr>
    </w:p>
    <w:p w14:paraId="34FDB592" w14:textId="77777777" w:rsidR="00744CFB" w:rsidRPr="00F33C01" w:rsidRDefault="00715989" w:rsidP="00DD5535">
      <w:pPr>
        <w:pStyle w:val="Heading1"/>
        <w:spacing w:before="0" w:after="0"/>
        <w:jc w:val="both"/>
      </w:pPr>
      <w:r w:rsidRPr="00F33C01">
        <w:t>4. Results and Discussion</w:t>
      </w:r>
    </w:p>
    <w:p w14:paraId="042B82ED" w14:textId="3E9F82C1" w:rsidR="00744CFB" w:rsidRPr="00F33C01" w:rsidRDefault="00715989" w:rsidP="00DD5535">
      <w:pPr>
        <w:pStyle w:val="Heading2"/>
        <w:spacing w:before="0" w:after="0"/>
        <w:jc w:val="both"/>
      </w:pPr>
      <w:r w:rsidRPr="00F33C01">
        <w:t>4.1 National Trends, 2020-202</w:t>
      </w:r>
      <w:r w:rsidR="00D8141A">
        <w:t>5</w:t>
      </w:r>
    </w:p>
    <w:p w14:paraId="7E55920C" w14:textId="77777777" w:rsidR="00DD5535" w:rsidRPr="00DD5535" w:rsidRDefault="00DD5535" w:rsidP="00324631">
      <w:pPr>
        <w:spacing w:after="0"/>
        <w:ind w:left="360"/>
        <w:contextualSpacing/>
        <w:jc w:val="both"/>
        <w:rPr>
          <w:rFonts w:cs="Times New Roman"/>
          <w:szCs w:val="24"/>
        </w:rPr>
      </w:pPr>
      <w:r w:rsidRPr="00DD5535">
        <w:rPr>
          <w:rFonts w:cs="Times New Roman"/>
          <w:szCs w:val="24"/>
        </w:rPr>
        <w:t>Indonesia moved from rapid QRIS network formation toward a broader digital-payment ecosystem during 2020-2025. Registered QRIS merchants increased from 13.0 million in 2020 to 43.0 million in 2025, more than tripling within five years. Financial literacy also improved from 41.91 percent to 66.46 percent, while the financial-inclusion index reached 80.51 percent in 2025 after declining in 2024. These movements indicate that payment access, consumer capability, and formal financial participation generally expanded, although not at the same speed or with the same measurement stability.</w:t>
      </w:r>
    </w:p>
    <w:p w14:paraId="33D0DAE9" w14:textId="1D33304B" w:rsidR="00DD5535" w:rsidRDefault="00DD5535" w:rsidP="00324631">
      <w:pPr>
        <w:spacing w:after="0"/>
        <w:ind w:left="360"/>
        <w:contextualSpacing/>
        <w:jc w:val="both"/>
        <w:rPr>
          <w:rFonts w:cs="Times New Roman"/>
          <w:szCs w:val="24"/>
        </w:rPr>
      </w:pPr>
      <w:r w:rsidRPr="00DD5535">
        <w:rPr>
          <w:rFonts w:cs="Times New Roman"/>
          <w:szCs w:val="24"/>
        </w:rPr>
        <w:t>The MSME indicators require a more cautious reading. Outstanding MSME credit increased from Rp1,088.33 trillion in 2020 to Rp1,506.29 trillion in 2024. For analytical continuity, the 2025 credit value is estimated at Rp1,634.56 trillion by applying the average annual growth observed during 2021-2024. The 2025 MSME count is estimated at 30.46 million units from the 2024 administrative baseline. These estimates are used only for descriptive continuity and correlation sensitivity; they are not presented as official statistics.</w:t>
      </w:r>
    </w:p>
    <w:p w14:paraId="6E6ADC8E" w14:textId="77777777" w:rsidR="00DD5535" w:rsidRPr="00DD5535" w:rsidRDefault="00DD5535" w:rsidP="00EF11D8">
      <w:pPr>
        <w:spacing w:after="0"/>
        <w:ind w:firstLine="720"/>
        <w:contextualSpacing/>
        <w:jc w:val="both"/>
        <w:rPr>
          <w:rFonts w:cs="Times New Roman"/>
          <w:szCs w:val="24"/>
        </w:rPr>
      </w:pPr>
      <w:r w:rsidRPr="00DD5535">
        <w:rPr>
          <w:rFonts w:cs="Times New Roman"/>
          <w:b/>
          <w:szCs w:val="24"/>
        </w:rPr>
        <w:t>Table 2. National indicators used in the analysis, 2020-2025</w:t>
      </w:r>
    </w:p>
    <w:tbl>
      <w:tblPr>
        <w:tblStyle w:val="TableGrid"/>
        <w:tblW w:w="0" w:type="auto"/>
        <w:jc w:val="center"/>
        <w:tblLook w:val="04A0" w:firstRow="1" w:lastRow="0" w:firstColumn="1" w:lastColumn="0" w:noHBand="0" w:noVBand="1"/>
      </w:tblPr>
      <w:tblGrid>
        <w:gridCol w:w="810"/>
        <w:gridCol w:w="1578"/>
        <w:gridCol w:w="1542"/>
        <w:gridCol w:w="1542"/>
        <w:gridCol w:w="1584"/>
        <w:gridCol w:w="1438"/>
      </w:tblGrid>
      <w:tr w:rsidR="00DD5535" w:rsidRPr="00DD5535" w14:paraId="1196F230" w14:textId="77777777" w:rsidTr="003C609D">
        <w:trPr>
          <w:jc w:val="center"/>
        </w:trPr>
        <w:tc>
          <w:tcPr>
            <w:tcW w:w="850" w:type="dxa"/>
            <w:shd w:val="clear" w:color="auto" w:fill="D9EAF7"/>
          </w:tcPr>
          <w:p w14:paraId="149C3178" w14:textId="77777777" w:rsidR="00DD5535" w:rsidRPr="00DD5535" w:rsidRDefault="00DD5535" w:rsidP="008B3E55">
            <w:pPr>
              <w:spacing w:after="0" w:line="240" w:lineRule="auto"/>
              <w:contextualSpacing/>
              <w:jc w:val="both"/>
              <w:rPr>
                <w:rFonts w:cs="Times New Roman"/>
                <w:szCs w:val="24"/>
              </w:rPr>
            </w:pPr>
            <w:r w:rsidRPr="00DD5535">
              <w:rPr>
                <w:rFonts w:cs="Times New Roman"/>
                <w:b/>
                <w:szCs w:val="24"/>
              </w:rPr>
              <w:t>Year</w:t>
            </w:r>
          </w:p>
        </w:tc>
        <w:tc>
          <w:tcPr>
            <w:tcW w:w="1701" w:type="dxa"/>
            <w:shd w:val="clear" w:color="auto" w:fill="D9EAF7"/>
          </w:tcPr>
          <w:p w14:paraId="47228210" w14:textId="77777777" w:rsidR="00DD5535" w:rsidRPr="00DD5535" w:rsidRDefault="00DD5535" w:rsidP="008B3E55">
            <w:pPr>
              <w:spacing w:after="0" w:line="240" w:lineRule="auto"/>
              <w:contextualSpacing/>
              <w:jc w:val="both"/>
              <w:rPr>
                <w:rFonts w:cs="Times New Roman"/>
                <w:szCs w:val="24"/>
              </w:rPr>
            </w:pPr>
            <w:r w:rsidRPr="00DD5535">
              <w:rPr>
                <w:rFonts w:cs="Times New Roman"/>
                <w:b/>
                <w:szCs w:val="24"/>
              </w:rPr>
              <w:t>QRIS merchants (million)</w:t>
            </w:r>
          </w:p>
        </w:tc>
        <w:tc>
          <w:tcPr>
            <w:tcW w:w="1701" w:type="dxa"/>
            <w:shd w:val="clear" w:color="auto" w:fill="D9EAF7"/>
          </w:tcPr>
          <w:p w14:paraId="11E485DE" w14:textId="77777777" w:rsidR="00DD5535" w:rsidRPr="00DD5535" w:rsidRDefault="00DD5535" w:rsidP="008B3E55">
            <w:pPr>
              <w:spacing w:after="0" w:line="240" w:lineRule="auto"/>
              <w:contextualSpacing/>
              <w:jc w:val="both"/>
              <w:rPr>
                <w:rFonts w:cs="Times New Roman"/>
                <w:szCs w:val="24"/>
              </w:rPr>
            </w:pPr>
            <w:r w:rsidRPr="00DD5535">
              <w:rPr>
                <w:rFonts w:cs="Times New Roman"/>
                <w:b/>
                <w:szCs w:val="24"/>
              </w:rPr>
              <w:t>Financial literacy (%)</w:t>
            </w:r>
          </w:p>
        </w:tc>
        <w:tc>
          <w:tcPr>
            <w:tcW w:w="1701" w:type="dxa"/>
            <w:shd w:val="clear" w:color="auto" w:fill="D9EAF7"/>
          </w:tcPr>
          <w:p w14:paraId="06F05843" w14:textId="77777777" w:rsidR="00DD5535" w:rsidRPr="00DD5535" w:rsidRDefault="00DD5535" w:rsidP="008B3E55">
            <w:pPr>
              <w:spacing w:after="0" w:line="240" w:lineRule="auto"/>
              <w:contextualSpacing/>
              <w:jc w:val="both"/>
              <w:rPr>
                <w:rFonts w:cs="Times New Roman"/>
                <w:szCs w:val="24"/>
              </w:rPr>
            </w:pPr>
            <w:r w:rsidRPr="00DD5535">
              <w:rPr>
                <w:rFonts w:cs="Times New Roman"/>
                <w:b/>
                <w:szCs w:val="24"/>
              </w:rPr>
              <w:t>Financial inclusion (%)</w:t>
            </w:r>
          </w:p>
        </w:tc>
        <w:tc>
          <w:tcPr>
            <w:tcW w:w="1814" w:type="dxa"/>
            <w:shd w:val="clear" w:color="auto" w:fill="D9EAF7"/>
          </w:tcPr>
          <w:p w14:paraId="4D76C82C" w14:textId="77777777" w:rsidR="00DD5535" w:rsidRPr="00DD5535" w:rsidRDefault="00DD5535" w:rsidP="008B3E55">
            <w:pPr>
              <w:spacing w:after="0" w:line="240" w:lineRule="auto"/>
              <w:contextualSpacing/>
              <w:jc w:val="both"/>
              <w:rPr>
                <w:rFonts w:cs="Times New Roman"/>
                <w:szCs w:val="24"/>
              </w:rPr>
            </w:pPr>
            <w:r w:rsidRPr="00DD5535">
              <w:rPr>
                <w:rFonts w:cs="Times New Roman"/>
                <w:b/>
                <w:szCs w:val="24"/>
              </w:rPr>
              <w:t>MSME credit (Rp trillion)</w:t>
            </w:r>
          </w:p>
        </w:tc>
        <w:tc>
          <w:tcPr>
            <w:tcW w:w="1587" w:type="dxa"/>
            <w:shd w:val="clear" w:color="auto" w:fill="D9EAF7"/>
          </w:tcPr>
          <w:p w14:paraId="60EA24E9" w14:textId="77777777" w:rsidR="00DD5535" w:rsidRPr="00DD5535" w:rsidRDefault="00DD5535" w:rsidP="008B3E55">
            <w:pPr>
              <w:spacing w:after="0" w:line="240" w:lineRule="auto"/>
              <w:contextualSpacing/>
              <w:jc w:val="both"/>
              <w:rPr>
                <w:rFonts w:cs="Times New Roman"/>
                <w:szCs w:val="24"/>
              </w:rPr>
            </w:pPr>
            <w:r w:rsidRPr="00DD5535">
              <w:rPr>
                <w:rFonts w:cs="Times New Roman"/>
                <w:b/>
                <w:szCs w:val="24"/>
              </w:rPr>
              <w:t>MSME count (million)</w:t>
            </w:r>
          </w:p>
        </w:tc>
      </w:tr>
      <w:tr w:rsidR="00DD5535" w:rsidRPr="00DD5535" w14:paraId="0421C414" w14:textId="77777777" w:rsidTr="003C609D">
        <w:trPr>
          <w:jc w:val="center"/>
        </w:trPr>
        <w:tc>
          <w:tcPr>
            <w:tcW w:w="850" w:type="dxa"/>
            <w:vAlign w:val="center"/>
          </w:tcPr>
          <w:p w14:paraId="66D5D25C"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2020</w:t>
            </w:r>
          </w:p>
        </w:tc>
        <w:tc>
          <w:tcPr>
            <w:tcW w:w="1701" w:type="dxa"/>
            <w:vAlign w:val="center"/>
          </w:tcPr>
          <w:p w14:paraId="33F3F2BB"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13.00</w:t>
            </w:r>
          </w:p>
        </w:tc>
        <w:tc>
          <w:tcPr>
            <w:tcW w:w="1701" w:type="dxa"/>
            <w:vAlign w:val="center"/>
          </w:tcPr>
          <w:p w14:paraId="30B3CB92"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41.91</w:t>
            </w:r>
          </w:p>
        </w:tc>
        <w:tc>
          <w:tcPr>
            <w:tcW w:w="1701" w:type="dxa"/>
            <w:vAlign w:val="center"/>
          </w:tcPr>
          <w:p w14:paraId="7C957F7F"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79.16</w:t>
            </w:r>
          </w:p>
        </w:tc>
        <w:tc>
          <w:tcPr>
            <w:tcW w:w="1814" w:type="dxa"/>
            <w:vAlign w:val="center"/>
          </w:tcPr>
          <w:p w14:paraId="0E4914B7"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1,088.33</w:t>
            </w:r>
          </w:p>
        </w:tc>
        <w:tc>
          <w:tcPr>
            <w:tcW w:w="1587" w:type="dxa"/>
            <w:vAlign w:val="center"/>
          </w:tcPr>
          <w:p w14:paraId="24AC6169"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64.20</w:t>
            </w:r>
          </w:p>
        </w:tc>
      </w:tr>
      <w:tr w:rsidR="00DD5535" w:rsidRPr="00DD5535" w14:paraId="21A5B441" w14:textId="77777777" w:rsidTr="003C609D">
        <w:trPr>
          <w:jc w:val="center"/>
        </w:trPr>
        <w:tc>
          <w:tcPr>
            <w:tcW w:w="850" w:type="dxa"/>
            <w:vAlign w:val="center"/>
          </w:tcPr>
          <w:p w14:paraId="1E6BD8F5"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2021</w:t>
            </w:r>
          </w:p>
        </w:tc>
        <w:tc>
          <w:tcPr>
            <w:tcW w:w="1701" w:type="dxa"/>
            <w:vAlign w:val="center"/>
          </w:tcPr>
          <w:p w14:paraId="2A6EF07E"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15.00</w:t>
            </w:r>
          </w:p>
        </w:tc>
        <w:tc>
          <w:tcPr>
            <w:tcW w:w="1701" w:type="dxa"/>
            <w:vAlign w:val="center"/>
          </w:tcPr>
          <w:p w14:paraId="7D0CE22B"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45.80</w:t>
            </w:r>
          </w:p>
        </w:tc>
        <w:tc>
          <w:tcPr>
            <w:tcW w:w="1701" w:type="dxa"/>
            <w:vAlign w:val="center"/>
          </w:tcPr>
          <w:p w14:paraId="724D8800"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82.13</w:t>
            </w:r>
          </w:p>
        </w:tc>
        <w:tc>
          <w:tcPr>
            <w:tcW w:w="1814" w:type="dxa"/>
            <w:vAlign w:val="center"/>
          </w:tcPr>
          <w:p w14:paraId="236755EC"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1,221.02</w:t>
            </w:r>
          </w:p>
        </w:tc>
        <w:tc>
          <w:tcPr>
            <w:tcW w:w="1587" w:type="dxa"/>
            <w:vAlign w:val="center"/>
          </w:tcPr>
          <w:p w14:paraId="4E580431"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65.46</w:t>
            </w:r>
          </w:p>
        </w:tc>
      </w:tr>
      <w:tr w:rsidR="00DD5535" w:rsidRPr="00DD5535" w14:paraId="7D9517DC" w14:textId="77777777" w:rsidTr="003C609D">
        <w:trPr>
          <w:jc w:val="center"/>
        </w:trPr>
        <w:tc>
          <w:tcPr>
            <w:tcW w:w="850" w:type="dxa"/>
            <w:vAlign w:val="center"/>
          </w:tcPr>
          <w:p w14:paraId="6D00DD07"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2022</w:t>
            </w:r>
          </w:p>
        </w:tc>
        <w:tc>
          <w:tcPr>
            <w:tcW w:w="1701" w:type="dxa"/>
            <w:vAlign w:val="center"/>
          </w:tcPr>
          <w:p w14:paraId="552C5751"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24.00</w:t>
            </w:r>
          </w:p>
        </w:tc>
        <w:tc>
          <w:tcPr>
            <w:tcW w:w="1701" w:type="dxa"/>
            <w:vAlign w:val="center"/>
          </w:tcPr>
          <w:p w14:paraId="211EAF58"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49.68</w:t>
            </w:r>
          </w:p>
        </w:tc>
        <w:tc>
          <w:tcPr>
            <w:tcW w:w="1701" w:type="dxa"/>
            <w:vAlign w:val="center"/>
          </w:tcPr>
          <w:p w14:paraId="3139928B"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85.10</w:t>
            </w:r>
          </w:p>
        </w:tc>
        <w:tc>
          <w:tcPr>
            <w:tcW w:w="1814" w:type="dxa"/>
            <w:vAlign w:val="center"/>
          </w:tcPr>
          <w:p w14:paraId="08B7B498"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1,348.81</w:t>
            </w:r>
          </w:p>
        </w:tc>
        <w:tc>
          <w:tcPr>
            <w:tcW w:w="1587" w:type="dxa"/>
            <w:vAlign w:val="center"/>
          </w:tcPr>
          <w:p w14:paraId="0A97D362"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65.00</w:t>
            </w:r>
          </w:p>
        </w:tc>
      </w:tr>
      <w:tr w:rsidR="00DD5535" w:rsidRPr="00DD5535" w14:paraId="6756FCB5" w14:textId="77777777" w:rsidTr="003C609D">
        <w:trPr>
          <w:jc w:val="center"/>
        </w:trPr>
        <w:tc>
          <w:tcPr>
            <w:tcW w:w="850" w:type="dxa"/>
            <w:vAlign w:val="center"/>
          </w:tcPr>
          <w:p w14:paraId="5BC15B24"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lastRenderedPageBreak/>
              <w:t>2023</w:t>
            </w:r>
          </w:p>
        </w:tc>
        <w:tc>
          <w:tcPr>
            <w:tcW w:w="1701" w:type="dxa"/>
            <w:vAlign w:val="center"/>
          </w:tcPr>
          <w:p w14:paraId="23D2569C"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30.00</w:t>
            </w:r>
          </w:p>
        </w:tc>
        <w:tc>
          <w:tcPr>
            <w:tcW w:w="1701" w:type="dxa"/>
            <w:vAlign w:val="center"/>
          </w:tcPr>
          <w:p w14:paraId="5751730A"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49.68</w:t>
            </w:r>
          </w:p>
        </w:tc>
        <w:tc>
          <w:tcPr>
            <w:tcW w:w="1701" w:type="dxa"/>
            <w:vAlign w:val="center"/>
          </w:tcPr>
          <w:p w14:paraId="6AB734B3"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85.10</w:t>
            </w:r>
          </w:p>
        </w:tc>
        <w:tc>
          <w:tcPr>
            <w:tcW w:w="1814" w:type="dxa"/>
            <w:vAlign w:val="center"/>
          </w:tcPr>
          <w:p w14:paraId="116DB0B7"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1,457.13</w:t>
            </w:r>
          </w:p>
        </w:tc>
        <w:tc>
          <w:tcPr>
            <w:tcW w:w="1587" w:type="dxa"/>
            <w:vAlign w:val="center"/>
          </w:tcPr>
          <w:p w14:paraId="38210F5C"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66.00</w:t>
            </w:r>
          </w:p>
        </w:tc>
      </w:tr>
      <w:tr w:rsidR="00DD5535" w:rsidRPr="00DD5535" w14:paraId="711F2AE7" w14:textId="77777777" w:rsidTr="003C609D">
        <w:trPr>
          <w:jc w:val="center"/>
        </w:trPr>
        <w:tc>
          <w:tcPr>
            <w:tcW w:w="850" w:type="dxa"/>
            <w:vAlign w:val="center"/>
          </w:tcPr>
          <w:p w14:paraId="0F29A61D"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2024</w:t>
            </w:r>
          </w:p>
        </w:tc>
        <w:tc>
          <w:tcPr>
            <w:tcW w:w="1701" w:type="dxa"/>
            <w:vAlign w:val="center"/>
          </w:tcPr>
          <w:p w14:paraId="4BD671C3"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36.00</w:t>
            </w:r>
          </w:p>
        </w:tc>
        <w:tc>
          <w:tcPr>
            <w:tcW w:w="1701" w:type="dxa"/>
            <w:vAlign w:val="center"/>
          </w:tcPr>
          <w:p w14:paraId="7CD72DC3"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65.43</w:t>
            </w:r>
          </w:p>
        </w:tc>
        <w:tc>
          <w:tcPr>
            <w:tcW w:w="1701" w:type="dxa"/>
            <w:vAlign w:val="center"/>
          </w:tcPr>
          <w:p w14:paraId="66038F91"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75.02</w:t>
            </w:r>
          </w:p>
        </w:tc>
        <w:tc>
          <w:tcPr>
            <w:tcW w:w="1814" w:type="dxa"/>
            <w:vAlign w:val="center"/>
          </w:tcPr>
          <w:p w14:paraId="31A7A616"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1,506.29</w:t>
            </w:r>
          </w:p>
        </w:tc>
        <w:tc>
          <w:tcPr>
            <w:tcW w:w="1587" w:type="dxa"/>
            <w:vAlign w:val="center"/>
          </w:tcPr>
          <w:p w14:paraId="079B6FDD"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30.18</w:t>
            </w:r>
          </w:p>
        </w:tc>
      </w:tr>
      <w:tr w:rsidR="00DD5535" w:rsidRPr="00DD5535" w14:paraId="655BC218" w14:textId="77777777" w:rsidTr="003C609D">
        <w:trPr>
          <w:jc w:val="center"/>
        </w:trPr>
        <w:tc>
          <w:tcPr>
            <w:tcW w:w="850" w:type="dxa"/>
            <w:vAlign w:val="center"/>
          </w:tcPr>
          <w:p w14:paraId="53BDD3E8"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2025</w:t>
            </w:r>
          </w:p>
        </w:tc>
        <w:tc>
          <w:tcPr>
            <w:tcW w:w="1701" w:type="dxa"/>
            <w:vAlign w:val="center"/>
          </w:tcPr>
          <w:p w14:paraId="34774C04"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43.00</w:t>
            </w:r>
          </w:p>
        </w:tc>
        <w:tc>
          <w:tcPr>
            <w:tcW w:w="1701" w:type="dxa"/>
            <w:vAlign w:val="center"/>
          </w:tcPr>
          <w:p w14:paraId="5FABFC09"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66.46</w:t>
            </w:r>
          </w:p>
        </w:tc>
        <w:tc>
          <w:tcPr>
            <w:tcW w:w="1701" w:type="dxa"/>
            <w:vAlign w:val="center"/>
          </w:tcPr>
          <w:p w14:paraId="63F0C327"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80.51</w:t>
            </w:r>
          </w:p>
        </w:tc>
        <w:tc>
          <w:tcPr>
            <w:tcW w:w="1814" w:type="dxa"/>
            <w:vAlign w:val="center"/>
          </w:tcPr>
          <w:p w14:paraId="267B9FDD"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1,634.56</w:t>
            </w:r>
          </w:p>
        </w:tc>
        <w:tc>
          <w:tcPr>
            <w:tcW w:w="1587" w:type="dxa"/>
            <w:vAlign w:val="center"/>
          </w:tcPr>
          <w:p w14:paraId="6FB09BF4"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30.46</w:t>
            </w:r>
          </w:p>
        </w:tc>
      </w:tr>
    </w:tbl>
    <w:p w14:paraId="0C3206A3" w14:textId="651D56DB" w:rsidR="00DD5535" w:rsidRDefault="00DD5535" w:rsidP="00EF11D8">
      <w:pPr>
        <w:spacing w:after="0"/>
        <w:ind w:left="720"/>
        <w:contextualSpacing/>
        <w:jc w:val="both"/>
        <w:rPr>
          <w:rFonts w:cs="Times New Roman"/>
          <w:i/>
          <w:szCs w:val="24"/>
        </w:rPr>
      </w:pPr>
      <w:r w:rsidRPr="00DD5535">
        <w:rPr>
          <w:rFonts w:cs="Times New Roman"/>
          <w:i/>
          <w:szCs w:val="24"/>
        </w:rPr>
        <w:t xml:space="preserve">Source: Compiled by the author from the supplied Bank Indonesia/ASPI, OJK, BPS, Ministry of Cooperatives and SMEs, and </w:t>
      </w:r>
      <w:proofErr w:type="spellStart"/>
      <w:r w:rsidRPr="00DD5535">
        <w:rPr>
          <w:rFonts w:cs="Times New Roman"/>
          <w:i/>
          <w:szCs w:val="24"/>
        </w:rPr>
        <w:t>Databoks</w:t>
      </w:r>
      <w:proofErr w:type="spellEnd"/>
      <w:r w:rsidRPr="00DD5535">
        <w:rPr>
          <w:rFonts w:cs="Times New Roman"/>
          <w:i/>
          <w:szCs w:val="24"/>
        </w:rPr>
        <w:t xml:space="preserve"> datasets. The 2025 MSME credit and MSME-count figures are analytical estimates.</w:t>
      </w:r>
    </w:p>
    <w:p w14:paraId="76354E9D" w14:textId="77777777" w:rsidR="00DD5535" w:rsidRPr="00DD5535" w:rsidRDefault="00DD5535" w:rsidP="008B3E55">
      <w:pPr>
        <w:spacing w:after="0"/>
        <w:contextualSpacing/>
        <w:jc w:val="center"/>
        <w:rPr>
          <w:rFonts w:cs="Times New Roman"/>
          <w:szCs w:val="24"/>
        </w:rPr>
      </w:pPr>
      <w:r w:rsidRPr="00DD5535">
        <w:rPr>
          <w:rFonts w:cs="Times New Roman"/>
          <w:noProof/>
          <w:szCs w:val="24"/>
        </w:rPr>
        <w:drawing>
          <wp:inline distT="0" distB="0" distL="0" distR="0" wp14:anchorId="1A2B19BB" wp14:editId="73ABA577">
            <wp:extent cx="3498850" cy="2055574"/>
            <wp:effectExtent l="0" t="0" r="635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png"/>
                    <pic:cNvPicPr/>
                  </pic:nvPicPr>
                  <pic:blipFill>
                    <a:blip r:embed="rId9"/>
                    <a:stretch>
                      <a:fillRect/>
                    </a:stretch>
                  </pic:blipFill>
                  <pic:spPr>
                    <a:xfrm>
                      <a:off x="0" y="0"/>
                      <a:ext cx="3505073" cy="2059230"/>
                    </a:xfrm>
                    <a:prstGeom prst="rect">
                      <a:avLst/>
                    </a:prstGeom>
                  </pic:spPr>
                </pic:pic>
              </a:graphicData>
            </a:graphic>
          </wp:inline>
        </w:drawing>
      </w:r>
    </w:p>
    <w:p w14:paraId="7615CE19" w14:textId="77777777" w:rsidR="00DD5535" w:rsidRPr="00DD5535" w:rsidRDefault="00DD5535" w:rsidP="008B3E55">
      <w:pPr>
        <w:spacing w:after="0"/>
        <w:ind w:firstLine="720"/>
        <w:contextualSpacing/>
        <w:jc w:val="center"/>
        <w:rPr>
          <w:rFonts w:cs="Times New Roman"/>
          <w:szCs w:val="24"/>
        </w:rPr>
      </w:pPr>
      <w:r w:rsidRPr="00DD5535">
        <w:rPr>
          <w:rFonts w:cs="Times New Roman"/>
          <w:b/>
          <w:szCs w:val="24"/>
        </w:rPr>
        <w:t>Figure 1. Indexed trends of key indicators, 2020-2025</w:t>
      </w:r>
    </w:p>
    <w:p w14:paraId="3D909908" w14:textId="77777777" w:rsidR="00DD5535" w:rsidRPr="00DD5535" w:rsidRDefault="00DD5535" w:rsidP="00EF11D8">
      <w:pPr>
        <w:spacing w:after="0"/>
        <w:ind w:firstLine="720"/>
        <w:contextualSpacing/>
        <w:jc w:val="both"/>
        <w:rPr>
          <w:rFonts w:cs="Times New Roman"/>
          <w:szCs w:val="24"/>
        </w:rPr>
      </w:pPr>
      <w:r w:rsidRPr="00DD5535">
        <w:rPr>
          <w:rFonts w:cs="Times New Roman"/>
          <w:i/>
          <w:szCs w:val="24"/>
        </w:rPr>
        <w:t>Source: Author calculations from Table 2; 2020 = 100.</w:t>
      </w:r>
    </w:p>
    <w:p w14:paraId="6F4B9CCC" w14:textId="28B258C6" w:rsidR="00DD5535" w:rsidRDefault="00DD5535" w:rsidP="00324631">
      <w:pPr>
        <w:spacing w:after="0"/>
        <w:ind w:left="360"/>
        <w:contextualSpacing/>
        <w:jc w:val="both"/>
        <w:rPr>
          <w:rFonts w:cs="Times New Roman"/>
          <w:szCs w:val="24"/>
        </w:rPr>
      </w:pPr>
      <w:r w:rsidRPr="00DD5535">
        <w:rPr>
          <w:rFonts w:cs="Times New Roman"/>
          <w:szCs w:val="24"/>
        </w:rPr>
        <w:t>Figure 1 exposes an important asymmetry. QRIS merchant access expanded far more rapidly than the other indicators, while MSME credit rose steadily but less dramatically. The financial-literacy index accelerated in 2024, whereas financial inclusion was more volatile. The sharp statistical break in the MSME-count series confirms that administrative indicators should not be interpreted as if they were uninterrupted measures of business survival or firm creation.</w:t>
      </w:r>
    </w:p>
    <w:p w14:paraId="42CB3698" w14:textId="77777777" w:rsidR="00DD5535" w:rsidRPr="00DD5535" w:rsidRDefault="00DD5535" w:rsidP="00EF11D8">
      <w:pPr>
        <w:pStyle w:val="Heading2"/>
        <w:spacing w:before="0" w:after="0"/>
      </w:pPr>
      <w:r w:rsidRPr="00DD5535">
        <w:t>4.2 Growth-Rate Analysis</w:t>
      </w:r>
    </w:p>
    <w:p w14:paraId="08FA420F" w14:textId="77777777" w:rsidR="00DD5535" w:rsidRPr="00DD5535" w:rsidRDefault="00DD5535" w:rsidP="00324631">
      <w:pPr>
        <w:spacing w:after="0"/>
        <w:ind w:firstLine="720"/>
        <w:contextualSpacing/>
        <w:jc w:val="both"/>
        <w:rPr>
          <w:rFonts w:cs="Times New Roman"/>
          <w:szCs w:val="24"/>
        </w:rPr>
      </w:pPr>
      <w:r w:rsidRPr="00DD5535">
        <w:rPr>
          <w:rFonts w:cs="Times New Roman"/>
          <w:b/>
          <w:szCs w:val="24"/>
        </w:rPr>
        <w:t>Table 3. Year-on-year growth rates, percent</w:t>
      </w:r>
    </w:p>
    <w:tbl>
      <w:tblPr>
        <w:tblStyle w:val="TableGrid"/>
        <w:tblW w:w="0" w:type="auto"/>
        <w:jc w:val="center"/>
        <w:tblLook w:val="04A0" w:firstRow="1" w:lastRow="0" w:firstColumn="1" w:lastColumn="0" w:noHBand="0" w:noVBand="1"/>
      </w:tblPr>
      <w:tblGrid>
        <w:gridCol w:w="815"/>
        <w:gridCol w:w="1587"/>
        <w:gridCol w:w="1553"/>
        <w:gridCol w:w="1553"/>
        <w:gridCol w:w="1493"/>
        <w:gridCol w:w="1493"/>
      </w:tblGrid>
      <w:tr w:rsidR="00DD5535" w:rsidRPr="00DD5535" w14:paraId="78E5BF60" w14:textId="77777777" w:rsidTr="003C609D">
        <w:trPr>
          <w:jc w:val="center"/>
        </w:trPr>
        <w:tc>
          <w:tcPr>
            <w:tcW w:w="850" w:type="dxa"/>
            <w:shd w:val="clear" w:color="auto" w:fill="D9EAF7"/>
          </w:tcPr>
          <w:p w14:paraId="03C4EEF4" w14:textId="77777777" w:rsidR="00DD5535" w:rsidRPr="00DD5535" w:rsidRDefault="00DD5535" w:rsidP="008B3E55">
            <w:pPr>
              <w:spacing w:after="0" w:line="240" w:lineRule="auto"/>
              <w:contextualSpacing/>
              <w:jc w:val="both"/>
              <w:rPr>
                <w:rFonts w:cs="Times New Roman"/>
                <w:szCs w:val="24"/>
              </w:rPr>
            </w:pPr>
            <w:r w:rsidRPr="00DD5535">
              <w:rPr>
                <w:rFonts w:cs="Times New Roman"/>
                <w:b/>
                <w:szCs w:val="24"/>
              </w:rPr>
              <w:t>Year</w:t>
            </w:r>
          </w:p>
        </w:tc>
        <w:tc>
          <w:tcPr>
            <w:tcW w:w="1701" w:type="dxa"/>
            <w:shd w:val="clear" w:color="auto" w:fill="D9EAF7"/>
          </w:tcPr>
          <w:p w14:paraId="350FAE47" w14:textId="77777777" w:rsidR="00DD5535" w:rsidRPr="00DD5535" w:rsidRDefault="00DD5535" w:rsidP="008B3E55">
            <w:pPr>
              <w:spacing w:after="0" w:line="240" w:lineRule="auto"/>
              <w:contextualSpacing/>
              <w:jc w:val="both"/>
              <w:rPr>
                <w:rFonts w:cs="Times New Roman"/>
                <w:szCs w:val="24"/>
              </w:rPr>
            </w:pPr>
            <w:r w:rsidRPr="00DD5535">
              <w:rPr>
                <w:rFonts w:cs="Times New Roman"/>
                <w:b/>
                <w:szCs w:val="24"/>
              </w:rPr>
              <w:t>QRIS merchants</w:t>
            </w:r>
          </w:p>
        </w:tc>
        <w:tc>
          <w:tcPr>
            <w:tcW w:w="1701" w:type="dxa"/>
            <w:shd w:val="clear" w:color="auto" w:fill="D9EAF7"/>
          </w:tcPr>
          <w:p w14:paraId="359DB701" w14:textId="77777777" w:rsidR="00DD5535" w:rsidRPr="00DD5535" w:rsidRDefault="00DD5535" w:rsidP="008B3E55">
            <w:pPr>
              <w:spacing w:after="0" w:line="240" w:lineRule="auto"/>
              <w:contextualSpacing/>
              <w:jc w:val="both"/>
              <w:rPr>
                <w:rFonts w:cs="Times New Roman"/>
                <w:szCs w:val="24"/>
              </w:rPr>
            </w:pPr>
            <w:r w:rsidRPr="00DD5535">
              <w:rPr>
                <w:rFonts w:cs="Times New Roman"/>
                <w:b/>
                <w:szCs w:val="24"/>
              </w:rPr>
              <w:t>Financial literacy</w:t>
            </w:r>
          </w:p>
        </w:tc>
        <w:tc>
          <w:tcPr>
            <w:tcW w:w="1701" w:type="dxa"/>
            <w:shd w:val="clear" w:color="auto" w:fill="D9EAF7"/>
          </w:tcPr>
          <w:p w14:paraId="7E8279B3" w14:textId="77777777" w:rsidR="00DD5535" w:rsidRPr="00DD5535" w:rsidRDefault="00DD5535" w:rsidP="008B3E55">
            <w:pPr>
              <w:spacing w:after="0" w:line="240" w:lineRule="auto"/>
              <w:contextualSpacing/>
              <w:jc w:val="both"/>
              <w:rPr>
                <w:rFonts w:cs="Times New Roman"/>
                <w:szCs w:val="24"/>
              </w:rPr>
            </w:pPr>
            <w:r w:rsidRPr="00DD5535">
              <w:rPr>
                <w:rFonts w:cs="Times New Roman"/>
                <w:b/>
                <w:szCs w:val="24"/>
              </w:rPr>
              <w:t>Financial inclusion</w:t>
            </w:r>
          </w:p>
        </w:tc>
        <w:tc>
          <w:tcPr>
            <w:tcW w:w="1701" w:type="dxa"/>
            <w:shd w:val="clear" w:color="auto" w:fill="D9EAF7"/>
          </w:tcPr>
          <w:p w14:paraId="6E83CE25" w14:textId="77777777" w:rsidR="00DD5535" w:rsidRPr="00DD5535" w:rsidRDefault="00DD5535" w:rsidP="008B3E55">
            <w:pPr>
              <w:spacing w:after="0" w:line="240" w:lineRule="auto"/>
              <w:contextualSpacing/>
              <w:jc w:val="both"/>
              <w:rPr>
                <w:rFonts w:cs="Times New Roman"/>
                <w:szCs w:val="24"/>
              </w:rPr>
            </w:pPr>
            <w:r w:rsidRPr="00DD5535">
              <w:rPr>
                <w:rFonts w:cs="Times New Roman"/>
                <w:b/>
                <w:szCs w:val="24"/>
              </w:rPr>
              <w:t>MSME credit</w:t>
            </w:r>
          </w:p>
        </w:tc>
        <w:tc>
          <w:tcPr>
            <w:tcW w:w="1701" w:type="dxa"/>
            <w:shd w:val="clear" w:color="auto" w:fill="D9EAF7"/>
          </w:tcPr>
          <w:p w14:paraId="5188670A" w14:textId="77777777" w:rsidR="00DD5535" w:rsidRPr="00DD5535" w:rsidRDefault="00DD5535" w:rsidP="008B3E55">
            <w:pPr>
              <w:spacing w:after="0" w:line="240" w:lineRule="auto"/>
              <w:contextualSpacing/>
              <w:jc w:val="both"/>
              <w:rPr>
                <w:rFonts w:cs="Times New Roman"/>
                <w:szCs w:val="24"/>
              </w:rPr>
            </w:pPr>
            <w:r w:rsidRPr="00DD5535">
              <w:rPr>
                <w:rFonts w:cs="Times New Roman"/>
                <w:b/>
                <w:szCs w:val="24"/>
              </w:rPr>
              <w:t>MSME count</w:t>
            </w:r>
          </w:p>
        </w:tc>
      </w:tr>
      <w:tr w:rsidR="00DD5535" w:rsidRPr="00DD5535" w14:paraId="58D3A343" w14:textId="77777777" w:rsidTr="003C609D">
        <w:trPr>
          <w:jc w:val="center"/>
        </w:trPr>
        <w:tc>
          <w:tcPr>
            <w:tcW w:w="850" w:type="dxa"/>
            <w:vAlign w:val="center"/>
          </w:tcPr>
          <w:p w14:paraId="20EBB06D"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2020</w:t>
            </w:r>
          </w:p>
        </w:tc>
        <w:tc>
          <w:tcPr>
            <w:tcW w:w="1701" w:type="dxa"/>
            <w:vAlign w:val="center"/>
          </w:tcPr>
          <w:p w14:paraId="0CDC0477" w14:textId="77777777" w:rsidR="00DD5535" w:rsidRPr="00DD5535" w:rsidRDefault="00DD5535" w:rsidP="008B3E55">
            <w:pPr>
              <w:spacing w:after="0" w:line="240" w:lineRule="auto"/>
              <w:contextualSpacing/>
              <w:jc w:val="both"/>
              <w:rPr>
                <w:rFonts w:cs="Times New Roman"/>
                <w:szCs w:val="24"/>
              </w:rPr>
            </w:pPr>
            <w:proofErr w:type="spellStart"/>
            <w:r w:rsidRPr="00DD5535">
              <w:rPr>
                <w:rFonts w:cs="Times New Roman"/>
                <w:szCs w:val="24"/>
              </w:rPr>
              <w:t>n.a.</w:t>
            </w:r>
            <w:proofErr w:type="spellEnd"/>
          </w:p>
        </w:tc>
        <w:tc>
          <w:tcPr>
            <w:tcW w:w="1701" w:type="dxa"/>
            <w:vAlign w:val="center"/>
          </w:tcPr>
          <w:p w14:paraId="6FA40BEA" w14:textId="77777777" w:rsidR="00DD5535" w:rsidRPr="00DD5535" w:rsidRDefault="00DD5535" w:rsidP="008B3E55">
            <w:pPr>
              <w:spacing w:after="0" w:line="240" w:lineRule="auto"/>
              <w:contextualSpacing/>
              <w:jc w:val="both"/>
              <w:rPr>
                <w:rFonts w:cs="Times New Roman"/>
                <w:szCs w:val="24"/>
              </w:rPr>
            </w:pPr>
            <w:proofErr w:type="spellStart"/>
            <w:r w:rsidRPr="00DD5535">
              <w:rPr>
                <w:rFonts w:cs="Times New Roman"/>
                <w:szCs w:val="24"/>
              </w:rPr>
              <w:t>n.a.</w:t>
            </w:r>
            <w:proofErr w:type="spellEnd"/>
          </w:p>
        </w:tc>
        <w:tc>
          <w:tcPr>
            <w:tcW w:w="1701" w:type="dxa"/>
            <w:vAlign w:val="center"/>
          </w:tcPr>
          <w:p w14:paraId="036A032D" w14:textId="77777777" w:rsidR="00DD5535" w:rsidRPr="00DD5535" w:rsidRDefault="00DD5535" w:rsidP="008B3E55">
            <w:pPr>
              <w:spacing w:after="0" w:line="240" w:lineRule="auto"/>
              <w:contextualSpacing/>
              <w:jc w:val="both"/>
              <w:rPr>
                <w:rFonts w:cs="Times New Roman"/>
                <w:szCs w:val="24"/>
              </w:rPr>
            </w:pPr>
            <w:proofErr w:type="spellStart"/>
            <w:r w:rsidRPr="00DD5535">
              <w:rPr>
                <w:rFonts w:cs="Times New Roman"/>
                <w:szCs w:val="24"/>
              </w:rPr>
              <w:t>n.a.</w:t>
            </w:r>
            <w:proofErr w:type="spellEnd"/>
          </w:p>
        </w:tc>
        <w:tc>
          <w:tcPr>
            <w:tcW w:w="1701" w:type="dxa"/>
            <w:vAlign w:val="center"/>
          </w:tcPr>
          <w:p w14:paraId="15088FDF" w14:textId="77777777" w:rsidR="00DD5535" w:rsidRPr="00DD5535" w:rsidRDefault="00DD5535" w:rsidP="008B3E55">
            <w:pPr>
              <w:spacing w:after="0" w:line="240" w:lineRule="auto"/>
              <w:contextualSpacing/>
              <w:jc w:val="both"/>
              <w:rPr>
                <w:rFonts w:cs="Times New Roman"/>
                <w:szCs w:val="24"/>
              </w:rPr>
            </w:pPr>
            <w:proofErr w:type="spellStart"/>
            <w:r w:rsidRPr="00DD5535">
              <w:rPr>
                <w:rFonts w:cs="Times New Roman"/>
                <w:szCs w:val="24"/>
              </w:rPr>
              <w:t>n.a.</w:t>
            </w:r>
            <w:proofErr w:type="spellEnd"/>
          </w:p>
        </w:tc>
        <w:tc>
          <w:tcPr>
            <w:tcW w:w="1701" w:type="dxa"/>
            <w:vAlign w:val="center"/>
          </w:tcPr>
          <w:p w14:paraId="04840C2C" w14:textId="77777777" w:rsidR="00DD5535" w:rsidRPr="00DD5535" w:rsidRDefault="00DD5535" w:rsidP="008B3E55">
            <w:pPr>
              <w:spacing w:after="0" w:line="240" w:lineRule="auto"/>
              <w:contextualSpacing/>
              <w:jc w:val="both"/>
              <w:rPr>
                <w:rFonts w:cs="Times New Roman"/>
                <w:szCs w:val="24"/>
              </w:rPr>
            </w:pPr>
            <w:proofErr w:type="spellStart"/>
            <w:r w:rsidRPr="00DD5535">
              <w:rPr>
                <w:rFonts w:cs="Times New Roman"/>
                <w:szCs w:val="24"/>
              </w:rPr>
              <w:t>n.a.</w:t>
            </w:r>
            <w:proofErr w:type="spellEnd"/>
          </w:p>
        </w:tc>
      </w:tr>
      <w:tr w:rsidR="00DD5535" w:rsidRPr="00DD5535" w14:paraId="298C8078" w14:textId="77777777" w:rsidTr="003C609D">
        <w:trPr>
          <w:jc w:val="center"/>
        </w:trPr>
        <w:tc>
          <w:tcPr>
            <w:tcW w:w="850" w:type="dxa"/>
            <w:vAlign w:val="center"/>
          </w:tcPr>
          <w:p w14:paraId="4A2B32C8"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2021</w:t>
            </w:r>
          </w:p>
        </w:tc>
        <w:tc>
          <w:tcPr>
            <w:tcW w:w="1701" w:type="dxa"/>
            <w:vAlign w:val="center"/>
          </w:tcPr>
          <w:p w14:paraId="7647FCA4"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15.38</w:t>
            </w:r>
          </w:p>
        </w:tc>
        <w:tc>
          <w:tcPr>
            <w:tcW w:w="1701" w:type="dxa"/>
            <w:vAlign w:val="center"/>
          </w:tcPr>
          <w:p w14:paraId="42B4258D"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9.28</w:t>
            </w:r>
          </w:p>
        </w:tc>
        <w:tc>
          <w:tcPr>
            <w:tcW w:w="1701" w:type="dxa"/>
            <w:vAlign w:val="center"/>
          </w:tcPr>
          <w:p w14:paraId="1411635F"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3.75</w:t>
            </w:r>
          </w:p>
        </w:tc>
        <w:tc>
          <w:tcPr>
            <w:tcW w:w="1701" w:type="dxa"/>
            <w:vAlign w:val="center"/>
          </w:tcPr>
          <w:p w14:paraId="7A1E027C"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12.19</w:t>
            </w:r>
          </w:p>
        </w:tc>
        <w:tc>
          <w:tcPr>
            <w:tcW w:w="1701" w:type="dxa"/>
            <w:vAlign w:val="center"/>
          </w:tcPr>
          <w:p w14:paraId="6C523A1E"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1.96</w:t>
            </w:r>
          </w:p>
        </w:tc>
      </w:tr>
      <w:tr w:rsidR="00DD5535" w:rsidRPr="00DD5535" w14:paraId="3DBEC5A3" w14:textId="77777777" w:rsidTr="003C609D">
        <w:trPr>
          <w:jc w:val="center"/>
        </w:trPr>
        <w:tc>
          <w:tcPr>
            <w:tcW w:w="850" w:type="dxa"/>
            <w:vAlign w:val="center"/>
          </w:tcPr>
          <w:p w14:paraId="0E2940E8"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2022</w:t>
            </w:r>
          </w:p>
        </w:tc>
        <w:tc>
          <w:tcPr>
            <w:tcW w:w="1701" w:type="dxa"/>
            <w:vAlign w:val="center"/>
          </w:tcPr>
          <w:p w14:paraId="5FABB86E"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60.00</w:t>
            </w:r>
          </w:p>
        </w:tc>
        <w:tc>
          <w:tcPr>
            <w:tcW w:w="1701" w:type="dxa"/>
            <w:vAlign w:val="center"/>
          </w:tcPr>
          <w:p w14:paraId="59CF3DFC"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8.47</w:t>
            </w:r>
          </w:p>
        </w:tc>
        <w:tc>
          <w:tcPr>
            <w:tcW w:w="1701" w:type="dxa"/>
            <w:vAlign w:val="center"/>
          </w:tcPr>
          <w:p w14:paraId="7E89C735"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3.62</w:t>
            </w:r>
          </w:p>
        </w:tc>
        <w:tc>
          <w:tcPr>
            <w:tcW w:w="1701" w:type="dxa"/>
            <w:vAlign w:val="center"/>
          </w:tcPr>
          <w:p w14:paraId="06AC3438"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10.47</w:t>
            </w:r>
          </w:p>
        </w:tc>
        <w:tc>
          <w:tcPr>
            <w:tcW w:w="1701" w:type="dxa"/>
            <w:vAlign w:val="center"/>
          </w:tcPr>
          <w:p w14:paraId="175BF47B"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-0.70</w:t>
            </w:r>
          </w:p>
        </w:tc>
      </w:tr>
      <w:tr w:rsidR="00DD5535" w:rsidRPr="00DD5535" w14:paraId="61CF5B4E" w14:textId="77777777" w:rsidTr="003C609D">
        <w:trPr>
          <w:jc w:val="center"/>
        </w:trPr>
        <w:tc>
          <w:tcPr>
            <w:tcW w:w="850" w:type="dxa"/>
            <w:vAlign w:val="center"/>
          </w:tcPr>
          <w:p w14:paraId="5AB0C578"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2023</w:t>
            </w:r>
          </w:p>
        </w:tc>
        <w:tc>
          <w:tcPr>
            <w:tcW w:w="1701" w:type="dxa"/>
            <w:vAlign w:val="center"/>
          </w:tcPr>
          <w:p w14:paraId="4A9482D5"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25.00</w:t>
            </w:r>
          </w:p>
        </w:tc>
        <w:tc>
          <w:tcPr>
            <w:tcW w:w="1701" w:type="dxa"/>
            <w:vAlign w:val="center"/>
          </w:tcPr>
          <w:p w14:paraId="3E6BF0FB"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0.00</w:t>
            </w:r>
          </w:p>
        </w:tc>
        <w:tc>
          <w:tcPr>
            <w:tcW w:w="1701" w:type="dxa"/>
            <w:vAlign w:val="center"/>
          </w:tcPr>
          <w:p w14:paraId="4E08B196"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0.00</w:t>
            </w:r>
          </w:p>
        </w:tc>
        <w:tc>
          <w:tcPr>
            <w:tcW w:w="1701" w:type="dxa"/>
            <w:vAlign w:val="center"/>
          </w:tcPr>
          <w:p w14:paraId="3E91B09E"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8.03</w:t>
            </w:r>
          </w:p>
        </w:tc>
        <w:tc>
          <w:tcPr>
            <w:tcW w:w="1701" w:type="dxa"/>
            <w:vAlign w:val="center"/>
          </w:tcPr>
          <w:p w14:paraId="7631712A"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1.54</w:t>
            </w:r>
          </w:p>
        </w:tc>
      </w:tr>
      <w:tr w:rsidR="00DD5535" w:rsidRPr="00DD5535" w14:paraId="1CA74452" w14:textId="77777777" w:rsidTr="003C609D">
        <w:trPr>
          <w:jc w:val="center"/>
        </w:trPr>
        <w:tc>
          <w:tcPr>
            <w:tcW w:w="850" w:type="dxa"/>
            <w:vAlign w:val="center"/>
          </w:tcPr>
          <w:p w14:paraId="6AEEB3B3"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2024</w:t>
            </w:r>
          </w:p>
        </w:tc>
        <w:tc>
          <w:tcPr>
            <w:tcW w:w="1701" w:type="dxa"/>
            <w:vAlign w:val="center"/>
          </w:tcPr>
          <w:p w14:paraId="6270B73D"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20.00</w:t>
            </w:r>
          </w:p>
        </w:tc>
        <w:tc>
          <w:tcPr>
            <w:tcW w:w="1701" w:type="dxa"/>
            <w:vAlign w:val="center"/>
          </w:tcPr>
          <w:p w14:paraId="19327781"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31.70</w:t>
            </w:r>
          </w:p>
        </w:tc>
        <w:tc>
          <w:tcPr>
            <w:tcW w:w="1701" w:type="dxa"/>
            <w:vAlign w:val="center"/>
          </w:tcPr>
          <w:p w14:paraId="401F4942"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-11.84</w:t>
            </w:r>
          </w:p>
        </w:tc>
        <w:tc>
          <w:tcPr>
            <w:tcW w:w="1701" w:type="dxa"/>
            <w:vAlign w:val="center"/>
          </w:tcPr>
          <w:p w14:paraId="0B4A4810"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3.37</w:t>
            </w:r>
          </w:p>
        </w:tc>
        <w:tc>
          <w:tcPr>
            <w:tcW w:w="1701" w:type="dxa"/>
            <w:vAlign w:val="center"/>
          </w:tcPr>
          <w:p w14:paraId="3BBB548C"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-54.27</w:t>
            </w:r>
          </w:p>
        </w:tc>
      </w:tr>
      <w:tr w:rsidR="00DD5535" w:rsidRPr="00DD5535" w14:paraId="1BE1F602" w14:textId="77777777" w:rsidTr="003C609D">
        <w:trPr>
          <w:jc w:val="center"/>
        </w:trPr>
        <w:tc>
          <w:tcPr>
            <w:tcW w:w="850" w:type="dxa"/>
            <w:vAlign w:val="center"/>
          </w:tcPr>
          <w:p w14:paraId="57F4BFE0"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2025</w:t>
            </w:r>
          </w:p>
        </w:tc>
        <w:tc>
          <w:tcPr>
            <w:tcW w:w="1701" w:type="dxa"/>
            <w:vAlign w:val="center"/>
          </w:tcPr>
          <w:p w14:paraId="6371D628"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19.44</w:t>
            </w:r>
          </w:p>
        </w:tc>
        <w:tc>
          <w:tcPr>
            <w:tcW w:w="1701" w:type="dxa"/>
            <w:vAlign w:val="center"/>
          </w:tcPr>
          <w:p w14:paraId="213197F2"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1.57</w:t>
            </w:r>
          </w:p>
        </w:tc>
        <w:tc>
          <w:tcPr>
            <w:tcW w:w="1701" w:type="dxa"/>
            <w:vAlign w:val="center"/>
          </w:tcPr>
          <w:p w14:paraId="069EE979"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7.32</w:t>
            </w:r>
          </w:p>
        </w:tc>
        <w:tc>
          <w:tcPr>
            <w:tcW w:w="1701" w:type="dxa"/>
            <w:vAlign w:val="center"/>
          </w:tcPr>
          <w:p w14:paraId="196F702C"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8.52</w:t>
            </w:r>
          </w:p>
        </w:tc>
        <w:tc>
          <w:tcPr>
            <w:tcW w:w="1701" w:type="dxa"/>
            <w:vAlign w:val="center"/>
          </w:tcPr>
          <w:p w14:paraId="632EF7B6"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0.93</w:t>
            </w:r>
          </w:p>
        </w:tc>
      </w:tr>
    </w:tbl>
    <w:p w14:paraId="46A76BFD" w14:textId="77777777" w:rsidR="00DD5535" w:rsidRPr="00DD5535" w:rsidRDefault="00DD5535" w:rsidP="00EF11D8">
      <w:pPr>
        <w:spacing w:after="0"/>
        <w:ind w:firstLine="720"/>
        <w:contextualSpacing/>
        <w:jc w:val="both"/>
        <w:rPr>
          <w:rFonts w:cs="Times New Roman"/>
          <w:szCs w:val="24"/>
        </w:rPr>
      </w:pPr>
      <w:r w:rsidRPr="00DD5535">
        <w:rPr>
          <w:rFonts w:cs="Times New Roman"/>
          <w:i/>
          <w:szCs w:val="24"/>
        </w:rPr>
        <w:t>Source: Author calculations from Table 2. The 2025 MSME rates are estimate-based.</w:t>
      </w:r>
    </w:p>
    <w:p w14:paraId="6DCF19FC" w14:textId="77777777" w:rsidR="00EF11D8" w:rsidRDefault="00EF11D8" w:rsidP="00DD5535">
      <w:pPr>
        <w:spacing w:after="0"/>
        <w:contextualSpacing/>
        <w:jc w:val="both"/>
        <w:rPr>
          <w:rFonts w:cs="Times New Roman"/>
          <w:szCs w:val="24"/>
        </w:rPr>
      </w:pPr>
    </w:p>
    <w:p w14:paraId="1FE6AAC5" w14:textId="3950DA2F" w:rsidR="00DD5535" w:rsidRPr="00DD5535" w:rsidRDefault="00DD5535" w:rsidP="00324631">
      <w:pPr>
        <w:spacing w:after="0"/>
        <w:ind w:left="360"/>
        <w:contextualSpacing/>
        <w:jc w:val="both"/>
        <w:rPr>
          <w:rFonts w:cs="Times New Roman"/>
          <w:szCs w:val="24"/>
        </w:rPr>
      </w:pPr>
      <w:r w:rsidRPr="00DD5535">
        <w:rPr>
          <w:rFonts w:cs="Times New Roman"/>
          <w:szCs w:val="24"/>
        </w:rPr>
        <w:lastRenderedPageBreak/>
        <w:t>QRIS merchant growth peaked at 60.00 percent in 2022, then moderated to 25.00 percent in 2023, 20.00 percent in 2024, and 19.44 percent in 2025. This deceleration is consistent with network diffusion rather than deterioration: percentage growth normally slows as the installed merchant base becomes larger. The system nevertheless added seven million merchants during 2025, showing that a lower growth rate can coexist with substantial absolute expansion.</w:t>
      </w:r>
    </w:p>
    <w:p w14:paraId="6F320395" w14:textId="77777777" w:rsidR="00DD5535" w:rsidRPr="00DD5535" w:rsidRDefault="00DD5535" w:rsidP="00324631">
      <w:pPr>
        <w:spacing w:after="0"/>
        <w:ind w:left="360"/>
        <w:contextualSpacing/>
        <w:jc w:val="both"/>
        <w:rPr>
          <w:rFonts w:cs="Times New Roman"/>
          <w:szCs w:val="24"/>
        </w:rPr>
      </w:pPr>
      <w:r w:rsidRPr="00DD5535">
        <w:rPr>
          <w:rFonts w:cs="Times New Roman"/>
          <w:szCs w:val="24"/>
        </w:rPr>
        <w:t>MSME credit followed a smoother trajectory, but its growth slowed from 12.19 percent in 2021 to 3.37 percent in 2024. The analytical 2025 estimate implies growth of 8.52 percent. Financial literacy grew sharply in 2024 and only modestly in 2025, while financial inclusion rebounded by 7.32 percent after its 2024 decline. The MSME-count contraction in 2024 is best treated as a structural data break. Interpreting it as the disappearance of more than half of all MSMEs would be empirically implausible and would contaminate substantive conclusions.</w:t>
      </w:r>
    </w:p>
    <w:p w14:paraId="6CC057EC" w14:textId="02665951" w:rsidR="00DD5535" w:rsidRDefault="00DD5535" w:rsidP="00324631">
      <w:pPr>
        <w:spacing w:after="0"/>
        <w:ind w:left="360"/>
        <w:contextualSpacing/>
        <w:jc w:val="both"/>
        <w:rPr>
          <w:rFonts w:cs="Times New Roman"/>
          <w:szCs w:val="24"/>
        </w:rPr>
      </w:pPr>
      <w:r w:rsidRPr="00DD5535">
        <w:rPr>
          <w:rFonts w:cs="Times New Roman"/>
          <w:szCs w:val="24"/>
        </w:rPr>
        <w:t>The combined pattern suggests that Indonesia has been more successful at scaling payment acceptance than at demonstrating equivalent progress in financing depth, capability application, or firm-level outcomes. This distinction is central to the article: access is an input into scalability, not evidence of scalability itself.</w:t>
      </w:r>
    </w:p>
    <w:p w14:paraId="29F9EF0C" w14:textId="77777777" w:rsidR="00DD5535" w:rsidRPr="00DD5535" w:rsidRDefault="00DD5535" w:rsidP="00324631">
      <w:pPr>
        <w:pStyle w:val="Heading2"/>
        <w:spacing w:before="0" w:after="0"/>
      </w:pPr>
      <w:r w:rsidRPr="00DD5535">
        <w:t>4.3 National Correlation Analysis</w:t>
      </w:r>
    </w:p>
    <w:p w14:paraId="74547201" w14:textId="77777777" w:rsidR="00DD5535" w:rsidRPr="00DD5535" w:rsidRDefault="00DD5535" w:rsidP="00324631">
      <w:pPr>
        <w:spacing w:after="0"/>
        <w:ind w:left="720"/>
        <w:contextualSpacing/>
        <w:jc w:val="both"/>
        <w:rPr>
          <w:rFonts w:cs="Times New Roman"/>
          <w:szCs w:val="24"/>
        </w:rPr>
      </w:pPr>
      <w:r w:rsidRPr="00DD5535">
        <w:rPr>
          <w:rFonts w:cs="Times New Roman"/>
          <w:b/>
          <w:szCs w:val="24"/>
        </w:rPr>
        <w:t>Table 4. Pearson correlations between QRIS merchants and selected national indicators, 2020-2025</w:t>
      </w:r>
    </w:p>
    <w:tbl>
      <w:tblPr>
        <w:tblStyle w:val="TableGrid"/>
        <w:tblW w:w="0" w:type="auto"/>
        <w:jc w:val="center"/>
        <w:tblLook w:val="04A0" w:firstRow="1" w:lastRow="0" w:firstColumn="1" w:lastColumn="0" w:noHBand="0" w:noVBand="1"/>
      </w:tblPr>
      <w:tblGrid>
        <w:gridCol w:w="2802"/>
        <w:gridCol w:w="1652"/>
        <w:gridCol w:w="4040"/>
      </w:tblGrid>
      <w:tr w:rsidR="00DD5535" w:rsidRPr="00DD5535" w14:paraId="7E2AD6B0" w14:textId="77777777" w:rsidTr="003C609D">
        <w:trPr>
          <w:jc w:val="center"/>
        </w:trPr>
        <w:tc>
          <w:tcPr>
            <w:tcW w:w="3118" w:type="dxa"/>
            <w:shd w:val="clear" w:color="auto" w:fill="D9EAF7"/>
          </w:tcPr>
          <w:p w14:paraId="66A6779D" w14:textId="77777777" w:rsidR="00DD5535" w:rsidRPr="00DD5535" w:rsidRDefault="00DD5535" w:rsidP="008B3E55">
            <w:pPr>
              <w:spacing w:after="0" w:line="240" w:lineRule="auto"/>
              <w:contextualSpacing/>
              <w:jc w:val="both"/>
              <w:rPr>
                <w:rFonts w:cs="Times New Roman"/>
                <w:szCs w:val="24"/>
              </w:rPr>
            </w:pPr>
            <w:r w:rsidRPr="00DD5535">
              <w:rPr>
                <w:rFonts w:cs="Times New Roman"/>
                <w:b/>
                <w:szCs w:val="24"/>
              </w:rPr>
              <w:t>Indicator paired with QRIS merchants</w:t>
            </w:r>
          </w:p>
        </w:tc>
        <w:tc>
          <w:tcPr>
            <w:tcW w:w="1701" w:type="dxa"/>
            <w:shd w:val="clear" w:color="auto" w:fill="D9EAF7"/>
          </w:tcPr>
          <w:p w14:paraId="1B47A791" w14:textId="77777777" w:rsidR="00DD5535" w:rsidRPr="00DD5535" w:rsidRDefault="00DD5535" w:rsidP="008B3E55">
            <w:pPr>
              <w:spacing w:after="0" w:line="240" w:lineRule="auto"/>
              <w:contextualSpacing/>
              <w:jc w:val="both"/>
              <w:rPr>
                <w:rFonts w:cs="Times New Roman"/>
                <w:szCs w:val="24"/>
              </w:rPr>
            </w:pPr>
            <w:r w:rsidRPr="00DD5535">
              <w:rPr>
                <w:rFonts w:cs="Times New Roman"/>
                <w:b/>
                <w:szCs w:val="24"/>
              </w:rPr>
              <w:t>Correlation coefficient</w:t>
            </w:r>
          </w:p>
        </w:tc>
        <w:tc>
          <w:tcPr>
            <w:tcW w:w="4535" w:type="dxa"/>
            <w:shd w:val="clear" w:color="auto" w:fill="D9EAF7"/>
          </w:tcPr>
          <w:p w14:paraId="26F41DE0" w14:textId="77777777" w:rsidR="00DD5535" w:rsidRPr="00DD5535" w:rsidRDefault="00DD5535" w:rsidP="008B3E55">
            <w:pPr>
              <w:spacing w:after="0" w:line="240" w:lineRule="auto"/>
              <w:contextualSpacing/>
              <w:jc w:val="both"/>
              <w:rPr>
                <w:rFonts w:cs="Times New Roman"/>
                <w:szCs w:val="24"/>
              </w:rPr>
            </w:pPr>
            <w:r w:rsidRPr="00DD5535">
              <w:rPr>
                <w:rFonts w:cs="Times New Roman"/>
                <w:b/>
                <w:szCs w:val="24"/>
              </w:rPr>
              <w:t>Interpretation</w:t>
            </w:r>
          </w:p>
        </w:tc>
      </w:tr>
      <w:tr w:rsidR="00DD5535" w:rsidRPr="00DD5535" w14:paraId="007C5938" w14:textId="77777777" w:rsidTr="003C609D">
        <w:trPr>
          <w:jc w:val="center"/>
        </w:trPr>
        <w:tc>
          <w:tcPr>
            <w:tcW w:w="3118" w:type="dxa"/>
            <w:vAlign w:val="center"/>
          </w:tcPr>
          <w:p w14:paraId="4C7B269B"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MSME credit</w:t>
            </w:r>
          </w:p>
        </w:tc>
        <w:tc>
          <w:tcPr>
            <w:tcW w:w="1701" w:type="dxa"/>
            <w:vAlign w:val="center"/>
          </w:tcPr>
          <w:p w14:paraId="2B84EE23"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0.982</w:t>
            </w:r>
          </w:p>
        </w:tc>
        <w:tc>
          <w:tcPr>
            <w:tcW w:w="4535" w:type="dxa"/>
            <w:vAlign w:val="center"/>
          </w:tcPr>
          <w:p w14:paraId="25B088C9"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Very strong positive association; partly affected by the estimated 2025 value.</w:t>
            </w:r>
          </w:p>
        </w:tc>
      </w:tr>
      <w:tr w:rsidR="00DD5535" w:rsidRPr="00DD5535" w14:paraId="17F9E2E3" w14:textId="77777777" w:rsidTr="003C609D">
        <w:trPr>
          <w:jc w:val="center"/>
        </w:trPr>
        <w:tc>
          <w:tcPr>
            <w:tcW w:w="3118" w:type="dxa"/>
            <w:vAlign w:val="center"/>
          </w:tcPr>
          <w:p w14:paraId="3D7776C9"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Financial literacy index</w:t>
            </w:r>
          </w:p>
        </w:tc>
        <w:tc>
          <w:tcPr>
            <w:tcW w:w="1701" w:type="dxa"/>
            <w:vAlign w:val="center"/>
          </w:tcPr>
          <w:p w14:paraId="2B14D4C3"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0.936</w:t>
            </w:r>
          </w:p>
        </w:tc>
        <w:tc>
          <w:tcPr>
            <w:tcW w:w="4535" w:type="dxa"/>
            <w:vAlign w:val="center"/>
          </w:tcPr>
          <w:p w14:paraId="593316AD"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Very strong positive association; capability and merchant access rose together.</w:t>
            </w:r>
          </w:p>
        </w:tc>
      </w:tr>
      <w:tr w:rsidR="00DD5535" w:rsidRPr="00DD5535" w14:paraId="0E93BC18" w14:textId="77777777" w:rsidTr="003C609D">
        <w:trPr>
          <w:jc w:val="center"/>
        </w:trPr>
        <w:tc>
          <w:tcPr>
            <w:tcW w:w="3118" w:type="dxa"/>
            <w:vAlign w:val="center"/>
          </w:tcPr>
          <w:p w14:paraId="6881D17D"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Financial inclusion index</w:t>
            </w:r>
          </w:p>
        </w:tc>
        <w:tc>
          <w:tcPr>
            <w:tcW w:w="1701" w:type="dxa"/>
            <w:vAlign w:val="center"/>
          </w:tcPr>
          <w:p w14:paraId="574E9CFF"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-0.217</w:t>
            </w:r>
          </w:p>
        </w:tc>
        <w:tc>
          <w:tcPr>
            <w:tcW w:w="4535" w:type="dxa"/>
            <w:vAlign w:val="center"/>
          </w:tcPr>
          <w:p w14:paraId="7DE9D4C0"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Weak negative association; the 2024 decline dominates the short series.</w:t>
            </w:r>
          </w:p>
        </w:tc>
      </w:tr>
      <w:tr w:rsidR="00DD5535" w:rsidRPr="00DD5535" w14:paraId="521A580B" w14:textId="77777777" w:rsidTr="003C609D">
        <w:trPr>
          <w:jc w:val="center"/>
        </w:trPr>
        <w:tc>
          <w:tcPr>
            <w:tcW w:w="3118" w:type="dxa"/>
            <w:vAlign w:val="center"/>
          </w:tcPr>
          <w:p w14:paraId="54A39F63"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Number of MSMEs</w:t>
            </w:r>
          </w:p>
        </w:tc>
        <w:tc>
          <w:tcPr>
            <w:tcW w:w="1701" w:type="dxa"/>
            <w:vAlign w:val="center"/>
          </w:tcPr>
          <w:p w14:paraId="24267B6C"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-0.819</w:t>
            </w:r>
          </w:p>
        </w:tc>
        <w:tc>
          <w:tcPr>
            <w:tcW w:w="4535" w:type="dxa"/>
            <w:vAlign w:val="center"/>
          </w:tcPr>
          <w:p w14:paraId="7359ABA2"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Strong negative association; driven by the 2024 administrative break.</w:t>
            </w:r>
          </w:p>
        </w:tc>
      </w:tr>
    </w:tbl>
    <w:p w14:paraId="57B070F1" w14:textId="77777777" w:rsidR="00DD5535" w:rsidRPr="00DD5535" w:rsidRDefault="00DD5535" w:rsidP="00324631">
      <w:pPr>
        <w:spacing w:after="0"/>
        <w:ind w:left="720"/>
        <w:contextualSpacing/>
        <w:jc w:val="both"/>
        <w:rPr>
          <w:rFonts w:cs="Times New Roman"/>
          <w:szCs w:val="24"/>
        </w:rPr>
      </w:pPr>
      <w:r w:rsidRPr="00DD5535">
        <w:rPr>
          <w:rFonts w:cs="Times New Roman"/>
          <w:i/>
          <w:szCs w:val="24"/>
        </w:rPr>
        <w:t>Source: Author calculations. Six annual observations are used; the MSME series includes analytical 2025 estimates.</w:t>
      </w:r>
    </w:p>
    <w:p w14:paraId="26E9AA50" w14:textId="254A4426" w:rsidR="00DD5535" w:rsidRPr="00DD5535" w:rsidRDefault="00DD5535" w:rsidP="00324631">
      <w:pPr>
        <w:spacing w:after="0"/>
        <w:ind w:left="360"/>
        <w:contextualSpacing/>
        <w:jc w:val="both"/>
        <w:rPr>
          <w:rFonts w:cs="Times New Roman"/>
          <w:szCs w:val="24"/>
        </w:rPr>
      </w:pPr>
      <w:r w:rsidRPr="00DD5535">
        <w:rPr>
          <w:rFonts w:cs="Times New Roman"/>
          <w:szCs w:val="24"/>
        </w:rPr>
        <w:t xml:space="preserve">The strongest association is between QRIS merchants and MSME credit (r = 0.982), followed by financial literacy (r = 0.936). These coefficients show that payment acceptance, formal MSME financing, and literacy indicators moved in broadly </w:t>
      </w:r>
      <w:r w:rsidRPr="00DD5535">
        <w:rPr>
          <w:rFonts w:cs="Times New Roman"/>
          <w:szCs w:val="24"/>
        </w:rPr>
        <w:lastRenderedPageBreak/>
        <w:t>compatible directions. They do not demonstrate that QRIS caused credit growth or capability improvement. Common time trends, policy expansion, economic recovery, and measurement choices can generate high correlations even in the absence of a direct causal mechanism.</w:t>
      </w:r>
    </w:p>
    <w:p w14:paraId="6D3793F4" w14:textId="52C1B322" w:rsidR="00DD5535" w:rsidRDefault="00DD5535" w:rsidP="00324631">
      <w:pPr>
        <w:spacing w:after="0"/>
        <w:ind w:left="360"/>
        <w:contextualSpacing/>
        <w:jc w:val="both"/>
        <w:rPr>
          <w:rFonts w:cs="Times New Roman"/>
          <w:szCs w:val="24"/>
        </w:rPr>
      </w:pPr>
      <w:r w:rsidRPr="00DD5535">
        <w:rPr>
          <w:rFonts w:cs="Times New Roman"/>
          <w:szCs w:val="24"/>
        </w:rPr>
        <w:t>The financial-inclusion correlation is weak and negative (r = -0.217), primarily because the index declined in 2024 while QRIS merchants continued to increase. The correlation with the MSME count is strongly negative (r = -0.819), but this result is not economically credible as a structural relationship because it is dominated by the 2024 change in the administrative series. Table 4 should therefore be read as a diagnostic sensitivity exercise rather than as hypothesis-testing evidence.</w:t>
      </w:r>
    </w:p>
    <w:p w14:paraId="0833F021" w14:textId="77777777" w:rsidR="00DD5535" w:rsidRPr="00DD5535" w:rsidRDefault="00DD5535" w:rsidP="00324631">
      <w:pPr>
        <w:pStyle w:val="Heading2"/>
        <w:spacing w:before="0" w:after="0"/>
      </w:pPr>
      <w:r w:rsidRPr="00DD5535">
        <w:t>4.4 Provincial QRIS Merchant Concentration, Q2 2025</w:t>
      </w:r>
    </w:p>
    <w:p w14:paraId="4B8FD876" w14:textId="77777777" w:rsidR="00DD5535" w:rsidRPr="00DD5535" w:rsidRDefault="00DD5535" w:rsidP="00324631">
      <w:pPr>
        <w:spacing w:after="0"/>
        <w:ind w:left="360"/>
        <w:contextualSpacing/>
        <w:jc w:val="both"/>
        <w:rPr>
          <w:rFonts w:cs="Times New Roman"/>
          <w:szCs w:val="24"/>
        </w:rPr>
      </w:pPr>
      <w:r w:rsidRPr="00DD5535">
        <w:rPr>
          <w:rFonts w:cs="Times New Roman"/>
          <w:szCs w:val="24"/>
        </w:rPr>
        <w:t>The provincial data record approximately 39.31 million QRIS merchants on 30 June 2025. West Java led with 8.38 million merchants, followed by Jakarta with 6.17 million, East Java with 4.66 million, Central Java with 3.99 million, and Banten with 2.35 million. Together, these five provinces represented 64.99 percent of the provincial total. The ten largest provinces accounted for 79.41 percent, demonstrating that national access remains territorially concentrated.</w:t>
      </w:r>
    </w:p>
    <w:p w14:paraId="687002BA" w14:textId="4D79EA64" w:rsidR="00DD5535" w:rsidRDefault="00DD5535" w:rsidP="00324631">
      <w:pPr>
        <w:spacing w:after="0"/>
        <w:ind w:left="360"/>
        <w:contextualSpacing/>
        <w:jc w:val="both"/>
        <w:rPr>
          <w:rFonts w:cs="Times New Roman"/>
          <w:szCs w:val="24"/>
        </w:rPr>
      </w:pPr>
      <w:r w:rsidRPr="00DD5535">
        <w:rPr>
          <w:rFonts w:cs="Times New Roman"/>
          <w:szCs w:val="24"/>
        </w:rPr>
        <w:t>The concentration measures confirm this pattern. The HHI is 1048 on a 0-10,000 scale and the provincial Gini coefficient is 0.685. The HHI does not imply a monopolistic payment market because the units are geographic shares rather than competing firms; instead, it summarizes spatial concentration. The Gini coefficient shows that merchant access is distributed unevenly across provinces, with the smallest provincial networks concentrated in the newly separated Papua provinces.</w:t>
      </w:r>
    </w:p>
    <w:p w14:paraId="37086A8A" w14:textId="0685B235" w:rsidR="00CA1648" w:rsidRPr="00CA1648" w:rsidRDefault="00CA1648" w:rsidP="00CA1648">
      <w:pPr>
        <w:spacing w:after="0"/>
        <w:ind w:left="360"/>
        <w:contextualSpacing/>
        <w:jc w:val="both"/>
        <w:rPr>
          <w:rFonts w:cs="Times New Roman"/>
          <w:szCs w:val="24"/>
        </w:rPr>
      </w:pPr>
      <w:r>
        <w:rPr>
          <w:rFonts w:cs="Times New Roman"/>
          <w:b/>
          <w:szCs w:val="24"/>
        </w:rPr>
        <w:t xml:space="preserve"> </w:t>
      </w:r>
      <w:r w:rsidRPr="00CA1648">
        <w:rPr>
          <w:rFonts w:cs="Times New Roman"/>
          <w:b/>
          <w:szCs w:val="24"/>
        </w:rPr>
        <w:t xml:space="preserve">Table </w:t>
      </w:r>
      <w:r>
        <w:rPr>
          <w:rFonts w:cs="Times New Roman"/>
          <w:b/>
          <w:szCs w:val="24"/>
        </w:rPr>
        <w:t>5</w:t>
      </w:r>
      <w:r w:rsidRPr="00CA1648">
        <w:rPr>
          <w:rFonts w:cs="Times New Roman"/>
          <w:b/>
          <w:szCs w:val="24"/>
        </w:rPr>
        <w:t>. Complete provincial QRIS merchant dataset</w:t>
      </w:r>
    </w:p>
    <w:tbl>
      <w:tblPr>
        <w:tblW w:w="0" w:type="auto"/>
        <w:jc w:val="center"/>
        <w:tblLook w:val="04A0" w:firstRow="1" w:lastRow="0" w:firstColumn="1" w:lastColumn="0" w:noHBand="0" w:noVBand="1"/>
      </w:tblPr>
      <w:tblGrid>
        <w:gridCol w:w="3402"/>
        <w:gridCol w:w="1984"/>
        <w:gridCol w:w="1701"/>
        <w:gridCol w:w="1417"/>
      </w:tblGrid>
      <w:tr w:rsidR="00CA1648" w:rsidRPr="00CA1648" w14:paraId="4F4B6C2E" w14:textId="77777777" w:rsidTr="003C609D">
        <w:trPr>
          <w:jc w:val="center"/>
        </w:trPr>
        <w:tc>
          <w:tcPr>
            <w:tcW w:w="3402" w:type="dxa"/>
            <w:shd w:val="clear" w:color="auto" w:fill="D9EAF7"/>
          </w:tcPr>
          <w:p w14:paraId="58EBF00C"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b/>
                <w:szCs w:val="24"/>
              </w:rPr>
              <w:t>Province</w:t>
            </w:r>
          </w:p>
        </w:tc>
        <w:tc>
          <w:tcPr>
            <w:tcW w:w="1984" w:type="dxa"/>
            <w:shd w:val="clear" w:color="auto" w:fill="D9EAF7"/>
          </w:tcPr>
          <w:p w14:paraId="6E64D3E0"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b/>
                <w:szCs w:val="24"/>
              </w:rPr>
              <w:t>Merchants (million)</w:t>
            </w:r>
          </w:p>
        </w:tc>
        <w:tc>
          <w:tcPr>
            <w:tcW w:w="1701" w:type="dxa"/>
            <w:shd w:val="clear" w:color="auto" w:fill="D9EAF7"/>
          </w:tcPr>
          <w:p w14:paraId="2D211836"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b/>
                <w:szCs w:val="24"/>
              </w:rPr>
              <w:t>Share (%)</w:t>
            </w:r>
          </w:p>
        </w:tc>
        <w:tc>
          <w:tcPr>
            <w:tcW w:w="1417" w:type="dxa"/>
            <w:shd w:val="clear" w:color="auto" w:fill="D9EAF7"/>
          </w:tcPr>
          <w:p w14:paraId="69AA8F61"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b/>
                <w:szCs w:val="24"/>
              </w:rPr>
              <w:t>Tier</w:t>
            </w:r>
          </w:p>
        </w:tc>
      </w:tr>
      <w:tr w:rsidR="00CA1648" w:rsidRPr="00CA1648" w14:paraId="1CC06F13" w14:textId="77777777" w:rsidTr="003C609D">
        <w:trPr>
          <w:jc w:val="center"/>
        </w:trPr>
        <w:tc>
          <w:tcPr>
            <w:tcW w:w="3402" w:type="dxa"/>
            <w:vAlign w:val="center"/>
          </w:tcPr>
          <w:p w14:paraId="1B8208CA"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West Java</w:t>
            </w:r>
          </w:p>
        </w:tc>
        <w:tc>
          <w:tcPr>
            <w:tcW w:w="1984" w:type="dxa"/>
            <w:vAlign w:val="center"/>
          </w:tcPr>
          <w:p w14:paraId="6697EC52"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8.380</w:t>
            </w:r>
          </w:p>
        </w:tc>
        <w:tc>
          <w:tcPr>
            <w:tcW w:w="1701" w:type="dxa"/>
            <w:vAlign w:val="center"/>
          </w:tcPr>
          <w:p w14:paraId="6D51F5CE"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21.32</w:t>
            </w:r>
          </w:p>
        </w:tc>
        <w:tc>
          <w:tcPr>
            <w:tcW w:w="1417" w:type="dxa"/>
            <w:vAlign w:val="center"/>
          </w:tcPr>
          <w:p w14:paraId="7C4FCEE0"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1</w:t>
            </w:r>
          </w:p>
        </w:tc>
      </w:tr>
      <w:tr w:rsidR="00CA1648" w:rsidRPr="00CA1648" w14:paraId="10B78309" w14:textId="77777777" w:rsidTr="003C609D">
        <w:trPr>
          <w:jc w:val="center"/>
        </w:trPr>
        <w:tc>
          <w:tcPr>
            <w:tcW w:w="3402" w:type="dxa"/>
            <w:vAlign w:val="center"/>
          </w:tcPr>
          <w:p w14:paraId="1D71DD95"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Jakarta</w:t>
            </w:r>
          </w:p>
        </w:tc>
        <w:tc>
          <w:tcPr>
            <w:tcW w:w="1984" w:type="dxa"/>
            <w:vAlign w:val="center"/>
          </w:tcPr>
          <w:p w14:paraId="344E6104"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6.170</w:t>
            </w:r>
          </w:p>
        </w:tc>
        <w:tc>
          <w:tcPr>
            <w:tcW w:w="1701" w:type="dxa"/>
            <w:vAlign w:val="center"/>
          </w:tcPr>
          <w:p w14:paraId="3DEC9FA9"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15.69</w:t>
            </w:r>
          </w:p>
        </w:tc>
        <w:tc>
          <w:tcPr>
            <w:tcW w:w="1417" w:type="dxa"/>
            <w:vAlign w:val="center"/>
          </w:tcPr>
          <w:p w14:paraId="39B5DBA1"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1</w:t>
            </w:r>
          </w:p>
        </w:tc>
      </w:tr>
      <w:tr w:rsidR="00CA1648" w:rsidRPr="00CA1648" w14:paraId="77F03D84" w14:textId="77777777" w:rsidTr="003C609D">
        <w:trPr>
          <w:jc w:val="center"/>
        </w:trPr>
        <w:tc>
          <w:tcPr>
            <w:tcW w:w="3402" w:type="dxa"/>
            <w:vAlign w:val="center"/>
          </w:tcPr>
          <w:p w14:paraId="6B2AB80C"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East Java</w:t>
            </w:r>
          </w:p>
        </w:tc>
        <w:tc>
          <w:tcPr>
            <w:tcW w:w="1984" w:type="dxa"/>
            <w:vAlign w:val="center"/>
          </w:tcPr>
          <w:p w14:paraId="60E3A502"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4.660</w:t>
            </w:r>
          </w:p>
        </w:tc>
        <w:tc>
          <w:tcPr>
            <w:tcW w:w="1701" w:type="dxa"/>
            <w:vAlign w:val="center"/>
          </w:tcPr>
          <w:p w14:paraId="183E3949"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11.85</w:t>
            </w:r>
          </w:p>
        </w:tc>
        <w:tc>
          <w:tcPr>
            <w:tcW w:w="1417" w:type="dxa"/>
            <w:vAlign w:val="center"/>
          </w:tcPr>
          <w:p w14:paraId="26286D27"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1</w:t>
            </w:r>
          </w:p>
        </w:tc>
      </w:tr>
      <w:tr w:rsidR="00CA1648" w:rsidRPr="00CA1648" w14:paraId="79F4731A" w14:textId="77777777" w:rsidTr="003C609D">
        <w:trPr>
          <w:jc w:val="center"/>
        </w:trPr>
        <w:tc>
          <w:tcPr>
            <w:tcW w:w="3402" w:type="dxa"/>
            <w:vAlign w:val="center"/>
          </w:tcPr>
          <w:p w14:paraId="5674F4AD"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Central Java</w:t>
            </w:r>
          </w:p>
        </w:tc>
        <w:tc>
          <w:tcPr>
            <w:tcW w:w="1984" w:type="dxa"/>
            <w:vAlign w:val="center"/>
          </w:tcPr>
          <w:p w14:paraId="5FDB7746"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3.990</w:t>
            </w:r>
          </w:p>
        </w:tc>
        <w:tc>
          <w:tcPr>
            <w:tcW w:w="1701" w:type="dxa"/>
            <w:vAlign w:val="center"/>
          </w:tcPr>
          <w:p w14:paraId="017B9DE3"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10.15</w:t>
            </w:r>
          </w:p>
        </w:tc>
        <w:tc>
          <w:tcPr>
            <w:tcW w:w="1417" w:type="dxa"/>
            <w:vAlign w:val="center"/>
          </w:tcPr>
          <w:p w14:paraId="7E64BEB0"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1</w:t>
            </w:r>
          </w:p>
        </w:tc>
      </w:tr>
      <w:tr w:rsidR="00CA1648" w:rsidRPr="00CA1648" w14:paraId="3D420A2D" w14:textId="77777777" w:rsidTr="003C609D">
        <w:trPr>
          <w:jc w:val="center"/>
        </w:trPr>
        <w:tc>
          <w:tcPr>
            <w:tcW w:w="3402" w:type="dxa"/>
            <w:vAlign w:val="center"/>
          </w:tcPr>
          <w:p w14:paraId="31F099EB"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Banten</w:t>
            </w:r>
          </w:p>
        </w:tc>
        <w:tc>
          <w:tcPr>
            <w:tcW w:w="1984" w:type="dxa"/>
            <w:vAlign w:val="center"/>
          </w:tcPr>
          <w:p w14:paraId="764D8E61"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2.350</w:t>
            </w:r>
          </w:p>
        </w:tc>
        <w:tc>
          <w:tcPr>
            <w:tcW w:w="1701" w:type="dxa"/>
            <w:vAlign w:val="center"/>
          </w:tcPr>
          <w:p w14:paraId="185C206B"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5.98</w:t>
            </w:r>
          </w:p>
        </w:tc>
        <w:tc>
          <w:tcPr>
            <w:tcW w:w="1417" w:type="dxa"/>
            <w:vAlign w:val="center"/>
          </w:tcPr>
          <w:p w14:paraId="2154620B"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1</w:t>
            </w:r>
          </w:p>
        </w:tc>
      </w:tr>
      <w:tr w:rsidR="00CA1648" w:rsidRPr="00CA1648" w14:paraId="687E68AC" w14:textId="77777777" w:rsidTr="003C609D">
        <w:trPr>
          <w:jc w:val="center"/>
        </w:trPr>
        <w:tc>
          <w:tcPr>
            <w:tcW w:w="3402" w:type="dxa"/>
            <w:vAlign w:val="center"/>
          </w:tcPr>
          <w:p w14:paraId="298D3372"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North Sumatra</w:t>
            </w:r>
          </w:p>
        </w:tc>
        <w:tc>
          <w:tcPr>
            <w:tcW w:w="1984" w:type="dxa"/>
            <w:vAlign w:val="center"/>
          </w:tcPr>
          <w:p w14:paraId="28FB60C0"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1.500</w:t>
            </w:r>
          </w:p>
        </w:tc>
        <w:tc>
          <w:tcPr>
            <w:tcW w:w="1701" w:type="dxa"/>
            <w:vAlign w:val="center"/>
          </w:tcPr>
          <w:p w14:paraId="4EBB7267"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3.82</w:t>
            </w:r>
          </w:p>
        </w:tc>
        <w:tc>
          <w:tcPr>
            <w:tcW w:w="1417" w:type="dxa"/>
            <w:vAlign w:val="center"/>
          </w:tcPr>
          <w:p w14:paraId="0820AC4B"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1</w:t>
            </w:r>
          </w:p>
        </w:tc>
      </w:tr>
      <w:tr w:rsidR="00CA1648" w:rsidRPr="00CA1648" w14:paraId="0B6A5B54" w14:textId="77777777" w:rsidTr="003C609D">
        <w:trPr>
          <w:jc w:val="center"/>
        </w:trPr>
        <w:tc>
          <w:tcPr>
            <w:tcW w:w="3402" w:type="dxa"/>
            <w:vAlign w:val="center"/>
          </w:tcPr>
          <w:p w14:paraId="54828DDD"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South Sulawesi</w:t>
            </w:r>
          </w:p>
        </w:tc>
        <w:tc>
          <w:tcPr>
            <w:tcW w:w="1984" w:type="dxa"/>
            <w:vAlign w:val="center"/>
          </w:tcPr>
          <w:p w14:paraId="2F892909"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1.230</w:t>
            </w:r>
          </w:p>
        </w:tc>
        <w:tc>
          <w:tcPr>
            <w:tcW w:w="1701" w:type="dxa"/>
            <w:vAlign w:val="center"/>
          </w:tcPr>
          <w:p w14:paraId="3BF7F844"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3.13</w:t>
            </w:r>
          </w:p>
        </w:tc>
        <w:tc>
          <w:tcPr>
            <w:tcW w:w="1417" w:type="dxa"/>
            <w:vAlign w:val="center"/>
          </w:tcPr>
          <w:p w14:paraId="32FC12CF"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1</w:t>
            </w:r>
          </w:p>
        </w:tc>
      </w:tr>
      <w:tr w:rsidR="00CA1648" w:rsidRPr="00CA1648" w14:paraId="41B4B762" w14:textId="77777777" w:rsidTr="003C609D">
        <w:trPr>
          <w:jc w:val="center"/>
        </w:trPr>
        <w:tc>
          <w:tcPr>
            <w:tcW w:w="3402" w:type="dxa"/>
            <w:vAlign w:val="center"/>
          </w:tcPr>
          <w:p w14:paraId="0A3E6DFA"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South Sumatra</w:t>
            </w:r>
          </w:p>
        </w:tc>
        <w:tc>
          <w:tcPr>
            <w:tcW w:w="1984" w:type="dxa"/>
            <w:vAlign w:val="center"/>
          </w:tcPr>
          <w:p w14:paraId="180DB5BD"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1.000</w:t>
            </w:r>
          </w:p>
        </w:tc>
        <w:tc>
          <w:tcPr>
            <w:tcW w:w="1701" w:type="dxa"/>
            <w:vAlign w:val="center"/>
          </w:tcPr>
          <w:p w14:paraId="6101C3B0"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2.54</w:t>
            </w:r>
          </w:p>
        </w:tc>
        <w:tc>
          <w:tcPr>
            <w:tcW w:w="1417" w:type="dxa"/>
            <w:vAlign w:val="center"/>
          </w:tcPr>
          <w:p w14:paraId="1BBD2157"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1</w:t>
            </w:r>
          </w:p>
        </w:tc>
      </w:tr>
      <w:tr w:rsidR="00CA1648" w:rsidRPr="00CA1648" w14:paraId="0B383DD1" w14:textId="77777777" w:rsidTr="003C609D">
        <w:trPr>
          <w:jc w:val="center"/>
        </w:trPr>
        <w:tc>
          <w:tcPr>
            <w:tcW w:w="3402" w:type="dxa"/>
            <w:vAlign w:val="center"/>
          </w:tcPr>
          <w:p w14:paraId="4CEC0DF5"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Bali</w:t>
            </w:r>
          </w:p>
        </w:tc>
        <w:tc>
          <w:tcPr>
            <w:tcW w:w="1984" w:type="dxa"/>
            <w:vAlign w:val="center"/>
          </w:tcPr>
          <w:p w14:paraId="16E0444D"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0.996</w:t>
            </w:r>
          </w:p>
        </w:tc>
        <w:tc>
          <w:tcPr>
            <w:tcW w:w="1701" w:type="dxa"/>
            <w:vAlign w:val="center"/>
          </w:tcPr>
          <w:p w14:paraId="34A8FEB6"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2.53</w:t>
            </w:r>
          </w:p>
        </w:tc>
        <w:tc>
          <w:tcPr>
            <w:tcW w:w="1417" w:type="dxa"/>
            <w:vAlign w:val="center"/>
          </w:tcPr>
          <w:p w14:paraId="5240638F"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1</w:t>
            </w:r>
          </w:p>
        </w:tc>
      </w:tr>
      <w:tr w:rsidR="00CA1648" w:rsidRPr="00CA1648" w14:paraId="58A5083A" w14:textId="77777777" w:rsidTr="003C609D">
        <w:trPr>
          <w:jc w:val="center"/>
        </w:trPr>
        <w:tc>
          <w:tcPr>
            <w:tcW w:w="3402" w:type="dxa"/>
            <w:vAlign w:val="center"/>
          </w:tcPr>
          <w:p w14:paraId="07A83EBD"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DI Yogyakarta</w:t>
            </w:r>
          </w:p>
        </w:tc>
        <w:tc>
          <w:tcPr>
            <w:tcW w:w="1984" w:type="dxa"/>
            <w:vAlign w:val="center"/>
          </w:tcPr>
          <w:p w14:paraId="5C7B9AE5"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0.941</w:t>
            </w:r>
          </w:p>
        </w:tc>
        <w:tc>
          <w:tcPr>
            <w:tcW w:w="1701" w:type="dxa"/>
            <w:vAlign w:val="center"/>
          </w:tcPr>
          <w:p w14:paraId="0CF232EA"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2.39</w:t>
            </w:r>
          </w:p>
        </w:tc>
        <w:tc>
          <w:tcPr>
            <w:tcW w:w="1417" w:type="dxa"/>
            <w:vAlign w:val="center"/>
          </w:tcPr>
          <w:p w14:paraId="4297E7D1"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1</w:t>
            </w:r>
          </w:p>
        </w:tc>
      </w:tr>
      <w:tr w:rsidR="00CA1648" w:rsidRPr="00CA1648" w14:paraId="0AA344B0" w14:textId="77777777" w:rsidTr="003C609D">
        <w:trPr>
          <w:jc w:val="center"/>
        </w:trPr>
        <w:tc>
          <w:tcPr>
            <w:tcW w:w="3402" w:type="dxa"/>
            <w:vAlign w:val="center"/>
          </w:tcPr>
          <w:p w14:paraId="4E3987F7"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lastRenderedPageBreak/>
              <w:t>Riau</w:t>
            </w:r>
          </w:p>
        </w:tc>
        <w:tc>
          <w:tcPr>
            <w:tcW w:w="1984" w:type="dxa"/>
            <w:vAlign w:val="center"/>
          </w:tcPr>
          <w:p w14:paraId="1021E1FB"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0.822</w:t>
            </w:r>
          </w:p>
        </w:tc>
        <w:tc>
          <w:tcPr>
            <w:tcW w:w="1701" w:type="dxa"/>
            <w:vAlign w:val="center"/>
          </w:tcPr>
          <w:p w14:paraId="7EE70617"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2.09</w:t>
            </w:r>
          </w:p>
        </w:tc>
        <w:tc>
          <w:tcPr>
            <w:tcW w:w="1417" w:type="dxa"/>
            <w:vAlign w:val="center"/>
          </w:tcPr>
          <w:p w14:paraId="7FE18B20"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2</w:t>
            </w:r>
          </w:p>
        </w:tc>
      </w:tr>
      <w:tr w:rsidR="00CA1648" w:rsidRPr="00CA1648" w14:paraId="27735450" w14:textId="77777777" w:rsidTr="003C609D">
        <w:trPr>
          <w:jc w:val="center"/>
        </w:trPr>
        <w:tc>
          <w:tcPr>
            <w:tcW w:w="3402" w:type="dxa"/>
            <w:vAlign w:val="center"/>
          </w:tcPr>
          <w:p w14:paraId="348EC35E"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East Kalimantan</w:t>
            </w:r>
          </w:p>
        </w:tc>
        <w:tc>
          <w:tcPr>
            <w:tcW w:w="1984" w:type="dxa"/>
            <w:vAlign w:val="center"/>
          </w:tcPr>
          <w:p w14:paraId="63E9C629"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0.703</w:t>
            </w:r>
          </w:p>
        </w:tc>
        <w:tc>
          <w:tcPr>
            <w:tcW w:w="1701" w:type="dxa"/>
            <w:vAlign w:val="center"/>
          </w:tcPr>
          <w:p w14:paraId="1A640B02"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1.79</w:t>
            </w:r>
          </w:p>
        </w:tc>
        <w:tc>
          <w:tcPr>
            <w:tcW w:w="1417" w:type="dxa"/>
            <w:vAlign w:val="center"/>
          </w:tcPr>
          <w:p w14:paraId="0B0705BA"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2</w:t>
            </w:r>
          </w:p>
        </w:tc>
      </w:tr>
      <w:tr w:rsidR="00CA1648" w:rsidRPr="00CA1648" w14:paraId="48F34181" w14:textId="77777777" w:rsidTr="003C609D">
        <w:trPr>
          <w:jc w:val="center"/>
        </w:trPr>
        <w:tc>
          <w:tcPr>
            <w:tcW w:w="3402" w:type="dxa"/>
            <w:vAlign w:val="center"/>
          </w:tcPr>
          <w:p w14:paraId="0E764D31"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Lampung</w:t>
            </w:r>
          </w:p>
        </w:tc>
        <w:tc>
          <w:tcPr>
            <w:tcW w:w="1984" w:type="dxa"/>
            <w:vAlign w:val="center"/>
          </w:tcPr>
          <w:p w14:paraId="6B7C1941"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0.696</w:t>
            </w:r>
          </w:p>
        </w:tc>
        <w:tc>
          <w:tcPr>
            <w:tcW w:w="1701" w:type="dxa"/>
            <w:vAlign w:val="center"/>
          </w:tcPr>
          <w:p w14:paraId="12E1C542"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1.77</w:t>
            </w:r>
          </w:p>
        </w:tc>
        <w:tc>
          <w:tcPr>
            <w:tcW w:w="1417" w:type="dxa"/>
            <w:vAlign w:val="center"/>
          </w:tcPr>
          <w:p w14:paraId="7A592527"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2</w:t>
            </w:r>
          </w:p>
        </w:tc>
      </w:tr>
      <w:tr w:rsidR="00CA1648" w:rsidRPr="00CA1648" w14:paraId="695AE383" w14:textId="77777777" w:rsidTr="003C609D">
        <w:trPr>
          <w:jc w:val="center"/>
        </w:trPr>
        <w:tc>
          <w:tcPr>
            <w:tcW w:w="3402" w:type="dxa"/>
            <w:vAlign w:val="center"/>
          </w:tcPr>
          <w:p w14:paraId="3724C0EA"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Riau Islands</w:t>
            </w:r>
          </w:p>
        </w:tc>
        <w:tc>
          <w:tcPr>
            <w:tcW w:w="1984" w:type="dxa"/>
            <w:vAlign w:val="center"/>
          </w:tcPr>
          <w:p w14:paraId="18099CB0"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0.631</w:t>
            </w:r>
          </w:p>
        </w:tc>
        <w:tc>
          <w:tcPr>
            <w:tcW w:w="1701" w:type="dxa"/>
            <w:vAlign w:val="center"/>
          </w:tcPr>
          <w:p w14:paraId="43CCD0F2"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1.61</w:t>
            </w:r>
          </w:p>
        </w:tc>
        <w:tc>
          <w:tcPr>
            <w:tcW w:w="1417" w:type="dxa"/>
            <w:vAlign w:val="center"/>
          </w:tcPr>
          <w:p w14:paraId="2378B8EB"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2</w:t>
            </w:r>
          </w:p>
        </w:tc>
      </w:tr>
      <w:tr w:rsidR="00CA1648" w:rsidRPr="00CA1648" w14:paraId="6421A71B" w14:textId="77777777" w:rsidTr="003C609D">
        <w:trPr>
          <w:jc w:val="center"/>
        </w:trPr>
        <w:tc>
          <w:tcPr>
            <w:tcW w:w="3402" w:type="dxa"/>
            <w:vAlign w:val="center"/>
          </w:tcPr>
          <w:p w14:paraId="5ED7181E"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West Sumatra</w:t>
            </w:r>
          </w:p>
        </w:tc>
        <w:tc>
          <w:tcPr>
            <w:tcW w:w="1984" w:type="dxa"/>
            <w:vAlign w:val="center"/>
          </w:tcPr>
          <w:p w14:paraId="7CC51694"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0.625</w:t>
            </w:r>
          </w:p>
        </w:tc>
        <w:tc>
          <w:tcPr>
            <w:tcW w:w="1701" w:type="dxa"/>
            <w:vAlign w:val="center"/>
          </w:tcPr>
          <w:p w14:paraId="30002A3F"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1.59</w:t>
            </w:r>
          </w:p>
        </w:tc>
        <w:tc>
          <w:tcPr>
            <w:tcW w:w="1417" w:type="dxa"/>
            <w:vAlign w:val="center"/>
          </w:tcPr>
          <w:p w14:paraId="11617DBE"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2</w:t>
            </w:r>
          </w:p>
        </w:tc>
      </w:tr>
      <w:tr w:rsidR="00CA1648" w:rsidRPr="00CA1648" w14:paraId="4D1CC785" w14:textId="77777777" w:rsidTr="003C609D">
        <w:trPr>
          <w:jc w:val="center"/>
        </w:trPr>
        <w:tc>
          <w:tcPr>
            <w:tcW w:w="3402" w:type="dxa"/>
            <w:vAlign w:val="center"/>
          </w:tcPr>
          <w:p w14:paraId="7A14A2C7"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South Kalimantan</w:t>
            </w:r>
          </w:p>
        </w:tc>
        <w:tc>
          <w:tcPr>
            <w:tcW w:w="1984" w:type="dxa"/>
            <w:vAlign w:val="center"/>
          </w:tcPr>
          <w:p w14:paraId="04B5A2AF"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0.512</w:t>
            </w:r>
          </w:p>
        </w:tc>
        <w:tc>
          <w:tcPr>
            <w:tcW w:w="1701" w:type="dxa"/>
            <w:vAlign w:val="center"/>
          </w:tcPr>
          <w:p w14:paraId="472EC6C0"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1.30</w:t>
            </w:r>
          </w:p>
        </w:tc>
        <w:tc>
          <w:tcPr>
            <w:tcW w:w="1417" w:type="dxa"/>
            <w:vAlign w:val="center"/>
          </w:tcPr>
          <w:p w14:paraId="688B8FE9"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2</w:t>
            </w:r>
          </w:p>
        </w:tc>
      </w:tr>
      <w:tr w:rsidR="00CA1648" w:rsidRPr="00CA1648" w14:paraId="0F74D0C8" w14:textId="77777777" w:rsidTr="003C609D">
        <w:trPr>
          <w:jc w:val="center"/>
        </w:trPr>
        <w:tc>
          <w:tcPr>
            <w:tcW w:w="3402" w:type="dxa"/>
            <w:vAlign w:val="center"/>
          </w:tcPr>
          <w:p w14:paraId="641F060B"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West Kalimantan</w:t>
            </w:r>
          </w:p>
        </w:tc>
        <w:tc>
          <w:tcPr>
            <w:tcW w:w="1984" w:type="dxa"/>
            <w:vAlign w:val="center"/>
          </w:tcPr>
          <w:p w14:paraId="1537ADD7"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0.429</w:t>
            </w:r>
          </w:p>
        </w:tc>
        <w:tc>
          <w:tcPr>
            <w:tcW w:w="1701" w:type="dxa"/>
            <w:vAlign w:val="center"/>
          </w:tcPr>
          <w:p w14:paraId="1414BC6B"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1.09</w:t>
            </w:r>
          </w:p>
        </w:tc>
        <w:tc>
          <w:tcPr>
            <w:tcW w:w="1417" w:type="dxa"/>
            <w:vAlign w:val="center"/>
          </w:tcPr>
          <w:p w14:paraId="7A8D07E5"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2</w:t>
            </w:r>
          </w:p>
        </w:tc>
      </w:tr>
      <w:tr w:rsidR="00CA1648" w:rsidRPr="00CA1648" w14:paraId="1A21A803" w14:textId="77777777" w:rsidTr="003C609D">
        <w:trPr>
          <w:jc w:val="center"/>
        </w:trPr>
        <w:tc>
          <w:tcPr>
            <w:tcW w:w="3402" w:type="dxa"/>
            <w:vAlign w:val="center"/>
          </w:tcPr>
          <w:p w14:paraId="0F7A5469"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Jambi</w:t>
            </w:r>
          </w:p>
        </w:tc>
        <w:tc>
          <w:tcPr>
            <w:tcW w:w="1984" w:type="dxa"/>
            <w:vAlign w:val="center"/>
          </w:tcPr>
          <w:p w14:paraId="63050C1F"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0.388</w:t>
            </w:r>
          </w:p>
        </w:tc>
        <w:tc>
          <w:tcPr>
            <w:tcW w:w="1701" w:type="dxa"/>
            <w:vAlign w:val="center"/>
          </w:tcPr>
          <w:p w14:paraId="53AEE225"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0.99</w:t>
            </w:r>
          </w:p>
        </w:tc>
        <w:tc>
          <w:tcPr>
            <w:tcW w:w="1417" w:type="dxa"/>
            <w:vAlign w:val="center"/>
          </w:tcPr>
          <w:p w14:paraId="772679F5"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2</w:t>
            </w:r>
          </w:p>
        </w:tc>
      </w:tr>
      <w:tr w:rsidR="00CA1648" w:rsidRPr="00CA1648" w14:paraId="7A4782AD" w14:textId="77777777" w:rsidTr="003C609D">
        <w:trPr>
          <w:jc w:val="center"/>
        </w:trPr>
        <w:tc>
          <w:tcPr>
            <w:tcW w:w="3402" w:type="dxa"/>
            <w:vAlign w:val="center"/>
          </w:tcPr>
          <w:p w14:paraId="1837463F"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West Nusa Tenggara</w:t>
            </w:r>
          </w:p>
        </w:tc>
        <w:tc>
          <w:tcPr>
            <w:tcW w:w="1984" w:type="dxa"/>
            <w:vAlign w:val="center"/>
          </w:tcPr>
          <w:p w14:paraId="1B8E997C"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0.369</w:t>
            </w:r>
          </w:p>
        </w:tc>
        <w:tc>
          <w:tcPr>
            <w:tcW w:w="1701" w:type="dxa"/>
            <w:vAlign w:val="center"/>
          </w:tcPr>
          <w:p w14:paraId="48A2DF2C"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0.94</w:t>
            </w:r>
          </w:p>
        </w:tc>
        <w:tc>
          <w:tcPr>
            <w:tcW w:w="1417" w:type="dxa"/>
            <w:vAlign w:val="center"/>
          </w:tcPr>
          <w:p w14:paraId="2B586C82"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2</w:t>
            </w:r>
          </w:p>
        </w:tc>
      </w:tr>
      <w:tr w:rsidR="00CA1648" w:rsidRPr="00CA1648" w14:paraId="449A301D" w14:textId="77777777" w:rsidTr="003C609D">
        <w:trPr>
          <w:jc w:val="center"/>
        </w:trPr>
        <w:tc>
          <w:tcPr>
            <w:tcW w:w="3402" w:type="dxa"/>
            <w:vAlign w:val="center"/>
          </w:tcPr>
          <w:p w14:paraId="246D23AE"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Central Kalimantan</w:t>
            </w:r>
          </w:p>
        </w:tc>
        <w:tc>
          <w:tcPr>
            <w:tcW w:w="1984" w:type="dxa"/>
            <w:vAlign w:val="center"/>
          </w:tcPr>
          <w:p w14:paraId="09FE955E"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0.348</w:t>
            </w:r>
          </w:p>
        </w:tc>
        <w:tc>
          <w:tcPr>
            <w:tcW w:w="1701" w:type="dxa"/>
            <w:vAlign w:val="center"/>
          </w:tcPr>
          <w:p w14:paraId="06B4F1BF"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0.89</w:t>
            </w:r>
          </w:p>
        </w:tc>
        <w:tc>
          <w:tcPr>
            <w:tcW w:w="1417" w:type="dxa"/>
            <w:vAlign w:val="center"/>
          </w:tcPr>
          <w:p w14:paraId="66AAE182"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3</w:t>
            </w:r>
          </w:p>
        </w:tc>
      </w:tr>
      <w:tr w:rsidR="00CA1648" w:rsidRPr="00CA1648" w14:paraId="0602D81A" w14:textId="77777777" w:rsidTr="003C609D">
        <w:trPr>
          <w:jc w:val="center"/>
        </w:trPr>
        <w:tc>
          <w:tcPr>
            <w:tcW w:w="3402" w:type="dxa"/>
            <w:vAlign w:val="center"/>
          </w:tcPr>
          <w:p w14:paraId="6A3493FC"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North Sulawesi</w:t>
            </w:r>
          </w:p>
        </w:tc>
        <w:tc>
          <w:tcPr>
            <w:tcW w:w="1984" w:type="dxa"/>
            <w:vAlign w:val="center"/>
          </w:tcPr>
          <w:p w14:paraId="7E1E2760"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0.332</w:t>
            </w:r>
          </w:p>
        </w:tc>
        <w:tc>
          <w:tcPr>
            <w:tcW w:w="1701" w:type="dxa"/>
            <w:vAlign w:val="center"/>
          </w:tcPr>
          <w:p w14:paraId="65D97F3D"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0.84</w:t>
            </w:r>
          </w:p>
        </w:tc>
        <w:tc>
          <w:tcPr>
            <w:tcW w:w="1417" w:type="dxa"/>
            <w:vAlign w:val="center"/>
          </w:tcPr>
          <w:p w14:paraId="63F3409E"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3</w:t>
            </w:r>
          </w:p>
        </w:tc>
      </w:tr>
      <w:tr w:rsidR="00CA1648" w:rsidRPr="00CA1648" w14:paraId="0296026E" w14:textId="77777777" w:rsidTr="003C609D">
        <w:trPr>
          <w:jc w:val="center"/>
        </w:trPr>
        <w:tc>
          <w:tcPr>
            <w:tcW w:w="3402" w:type="dxa"/>
            <w:vAlign w:val="center"/>
          </w:tcPr>
          <w:p w14:paraId="362903BC"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East Nusa Tenggara</w:t>
            </w:r>
          </w:p>
        </w:tc>
        <w:tc>
          <w:tcPr>
            <w:tcW w:w="1984" w:type="dxa"/>
            <w:vAlign w:val="center"/>
          </w:tcPr>
          <w:p w14:paraId="5E81162B"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0.282</w:t>
            </w:r>
          </w:p>
        </w:tc>
        <w:tc>
          <w:tcPr>
            <w:tcW w:w="1701" w:type="dxa"/>
            <w:vAlign w:val="center"/>
          </w:tcPr>
          <w:p w14:paraId="193C456B"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0.72</w:t>
            </w:r>
          </w:p>
        </w:tc>
        <w:tc>
          <w:tcPr>
            <w:tcW w:w="1417" w:type="dxa"/>
            <w:vAlign w:val="center"/>
          </w:tcPr>
          <w:p w14:paraId="383FCC86"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3</w:t>
            </w:r>
          </w:p>
        </w:tc>
      </w:tr>
      <w:tr w:rsidR="00CA1648" w:rsidRPr="00CA1648" w14:paraId="10B020AD" w14:textId="77777777" w:rsidTr="003C609D">
        <w:trPr>
          <w:jc w:val="center"/>
        </w:trPr>
        <w:tc>
          <w:tcPr>
            <w:tcW w:w="3402" w:type="dxa"/>
            <w:vAlign w:val="center"/>
          </w:tcPr>
          <w:p w14:paraId="4FE7EFF4"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Central Sulawesi</w:t>
            </w:r>
          </w:p>
        </w:tc>
        <w:tc>
          <w:tcPr>
            <w:tcW w:w="1984" w:type="dxa"/>
            <w:vAlign w:val="center"/>
          </w:tcPr>
          <w:p w14:paraId="0FED541D"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0.256</w:t>
            </w:r>
          </w:p>
        </w:tc>
        <w:tc>
          <w:tcPr>
            <w:tcW w:w="1701" w:type="dxa"/>
            <w:vAlign w:val="center"/>
          </w:tcPr>
          <w:p w14:paraId="1EC0994E"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0.65</w:t>
            </w:r>
          </w:p>
        </w:tc>
        <w:tc>
          <w:tcPr>
            <w:tcW w:w="1417" w:type="dxa"/>
            <w:vAlign w:val="center"/>
          </w:tcPr>
          <w:p w14:paraId="5DC604B9"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3</w:t>
            </w:r>
          </w:p>
        </w:tc>
      </w:tr>
      <w:tr w:rsidR="00CA1648" w:rsidRPr="00CA1648" w14:paraId="2444AD32" w14:textId="77777777" w:rsidTr="003C609D">
        <w:trPr>
          <w:jc w:val="center"/>
        </w:trPr>
        <w:tc>
          <w:tcPr>
            <w:tcW w:w="3402" w:type="dxa"/>
            <w:vAlign w:val="center"/>
          </w:tcPr>
          <w:p w14:paraId="4FE23CCD"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Aceh</w:t>
            </w:r>
          </w:p>
        </w:tc>
        <w:tc>
          <w:tcPr>
            <w:tcW w:w="1984" w:type="dxa"/>
            <w:vAlign w:val="center"/>
          </w:tcPr>
          <w:p w14:paraId="354367E7"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0.214</w:t>
            </w:r>
          </w:p>
        </w:tc>
        <w:tc>
          <w:tcPr>
            <w:tcW w:w="1701" w:type="dxa"/>
            <w:vAlign w:val="center"/>
          </w:tcPr>
          <w:p w14:paraId="75F5E42D"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0.54</w:t>
            </w:r>
          </w:p>
        </w:tc>
        <w:tc>
          <w:tcPr>
            <w:tcW w:w="1417" w:type="dxa"/>
            <w:vAlign w:val="center"/>
          </w:tcPr>
          <w:p w14:paraId="753F9BB0"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3</w:t>
            </w:r>
          </w:p>
        </w:tc>
      </w:tr>
      <w:tr w:rsidR="00CA1648" w:rsidRPr="00CA1648" w14:paraId="3C469523" w14:textId="77777777" w:rsidTr="003C609D">
        <w:trPr>
          <w:jc w:val="center"/>
        </w:trPr>
        <w:tc>
          <w:tcPr>
            <w:tcW w:w="3402" w:type="dxa"/>
            <w:vAlign w:val="center"/>
          </w:tcPr>
          <w:p w14:paraId="79B50D2F"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Southeast Sulawesi</w:t>
            </w:r>
          </w:p>
        </w:tc>
        <w:tc>
          <w:tcPr>
            <w:tcW w:w="1984" w:type="dxa"/>
            <w:vAlign w:val="center"/>
          </w:tcPr>
          <w:p w14:paraId="31C7C2DB"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0.209</w:t>
            </w:r>
          </w:p>
        </w:tc>
        <w:tc>
          <w:tcPr>
            <w:tcW w:w="1701" w:type="dxa"/>
            <w:vAlign w:val="center"/>
          </w:tcPr>
          <w:p w14:paraId="578B0BEC"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0.53</w:t>
            </w:r>
          </w:p>
        </w:tc>
        <w:tc>
          <w:tcPr>
            <w:tcW w:w="1417" w:type="dxa"/>
            <w:vAlign w:val="center"/>
          </w:tcPr>
          <w:p w14:paraId="0C5537B3"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3</w:t>
            </w:r>
          </w:p>
        </w:tc>
      </w:tr>
      <w:tr w:rsidR="00CA1648" w:rsidRPr="00CA1648" w14:paraId="3F5978CF" w14:textId="77777777" w:rsidTr="003C609D">
        <w:trPr>
          <w:jc w:val="center"/>
        </w:trPr>
        <w:tc>
          <w:tcPr>
            <w:tcW w:w="3402" w:type="dxa"/>
            <w:vAlign w:val="center"/>
          </w:tcPr>
          <w:p w14:paraId="7AD421A6"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Bengkulu</w:t>
            </w:r>
          </w:p>
        </w:tc>
        <w:tc>
          <w:tcPr>
            <w:tcW w:w="1984" w:type="dxa"/>
            <w:vAlign w:val="center"/>
          </w:tcPr>
          <w:p w14:paraId="371BD783"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0.204</w:t>
            </w:r>
          </w:p>
        </w:tc>
        <w:tc>
          <w:tcPr>
            <w:tcW w:w="1701" w:type="dxa"/>
            <w:vAlign w:val="center"/>
          </w:tcPr>
          <w:p w14:paraId="4227A052"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0.52</w:t>
            </w:r>
          </w:p>
        </w:tc>
        <w:tc>
          <w:tcPr>
            <w:tcW w:w="1417" w:type="dxa"/>
            <w:vAlign w:val="center"/>
          </w:tcPr>
          <w:p w14:paraId="053E3A91"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3</w:t>
            </w:r>
          </w:p>
        </w:tc>
      </w:tr>
      <w:tr w:rsidR="00CA1648" w:rsidRPr="00CA1648" w14:paraId="07B0A048" w14:textId="77777777" w:rsidTr="003C609D">
        <w:trPr>
          <w:jc w:val="center"/>
        </w:trPr>
        <w:tc>
          <w:tcPr>
            <w:tcW w:w="3402" w:type="dxa"/>
            <w:vAlign w:val="center"/>
          </w:tcPr>
          <w:p w14:paraId="667C7683"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Bangka Belitung Islands</w:t>
            </w:r>
          </w:p>
        </w:tc>
        <w:tc>
          <w:tcPr>
            <w:tcW w:w="1984" w:type="dxa"/>
            <w:vAlign w:val="center"/>
          </w:tcPr>
          <w:p w14:paraId="4FDB6D36"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0.175</w:t>
            </w:r>
          </w:p>
        </w:tc>
        <w:tc>
          <w:tcPr>
            <w:tcW w:w="1701" w:type="dxa"/>
            <w:vAlign w:val="center"/>
          </w:tcPr>
          <w:p w14:paraId="2FF9807E"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0.45</w:t>
            </w:r>
          </w:p>
        </w:tc>
        <w:tc>
          <w:tcPr>
            <w:tcW w:w="1417" w:type="dxa"/>
            <w:vAlign w:val="center"/>
          </w:tcPr>
          <w:p w14:paraId="11C32D61"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3</w:t>
            </w:r>
          </w:p>
        </w:tc>
      </w:tr>
      <w:tr w:rsidR="00CA1648" w:rsidRPr="00CA1648" w14:paraId="437DCD3B" w14:textId="77777777" w:rsidTr="003C609D">
        <w:trPr>
          <w:jc w:val="center"/>
        </w:trPr>
        <w:tc>
          <w:tcPr>
            <w:tcW w:w="3402" w:type="dxa"/>
            <w:vAlign w:val="center"/>
          </w:tcPr>
          <w:p w14:paraId="1E01ACEB"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Papua</w:t>
            </w:r>
          </w:p>
        </w:tc>
        <w:tc>
          <w:tcPr>
            <w:tcW w:w="1984" w:type="dxa"/>
            <w:vAlign w:val="center"/>
          </w:tcPr>
          <w:p w14:paraId="41538724"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0.167</w:t>
            </w:r>
          </w:p>
        </w:tc>
        <w:tc>
          <w:tcPr>
            <w:tcW w:w="1701" w:type="dxa"/>
            <w:vAlign w:val="center"/>
          </w:tcPr>
          <w:p w14:paraId="3C744CC4"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0.42</w:t>
            </w:r>
          </w:p>
        </w:tc>
        <w:tc>
          <w:tcPr>
            <w:tcW w:w="1417" w:type="dxa"/>
            <w:vAlign w:val="center"/>
          </w:tcPr>
          <w:p w14:paraId="54B1C921"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3</w:t>
            </w:r>
          </w:p>
        </w:tc>
      </w:tr>
      <w:tr w:rsidR="00CA1648" w:rsidRPr="00CA1648" w14:paraId="6F1D6DC2" w14:textId="77777777" w:rsidTr="003C609D">
        <w:trPr>
          <w:jc w:val="center"/>
        </w:trPr>
        <w:tc>
          <w:tcPr>
            <w:tcW w:w="3402" w:type="dxa"/>
            <w:vAlign w:val="center"/>
          </w:tcPr>
          <w:p w14:paraId="4C372CE5"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Gorontalo</w:t>
            </w:r>
          </w:p>
        </w:tc>
        <w:tc>
          <w:tcPr>
            <w:tcW w:w="1984" w:type="dxa"/>
            <w:vAlign w:val="center"/>
          </w:tcPr>
          <w:p w14:paraId="7BC22C92"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0.132</w:t>
            </w:r>
          </w:p>
        </w:tc>
        <w:tc>
          <w:tcPr>
            <w:tcW w:w="1701" w:type="dxa"/>
            <w:vAlign w:val="center"/>
          </w:tcPr>
          <w:p w14:paraId="6334E602"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0.34</w:t>
            </w:r>
          </w:p>
        </w:tc>
        <w:tc>
          <w:tcPr>
            <w:tcW w:w="1417" w:type="dxa"/>
            <w:vAlign w:val="center"/>
          </w:tcPr>
          <w:p w14:paraId="7F68B610"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4</w:t>
            </w:r>
          </w:p>
        </w:tc>
      </w:tr>
      <w:tr w:rsidR="00CA1648" w:rsidRPr="00CA1648" w14:paraId="39449370" w14:textId="77777777" w:rsidTr="003C609D">
        <w:trPr>
          <w:jc w:val="center"/>
        </w:trPr>
        <w:tc>
          <w:tcPr>
            <w:tcW w:w="3402" w:type="dxa"/>
            <w:vAlign w:val="center"/>
          </w:tcPr>
          <w:p w14:paraId="5708A5AF"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North Maluku</w:t>
            </w:r>
          </w:p>
        </w:tc>
        <w:tc>
          <w:tcPr>
            <w:tcW w:w="1984" w:type="dxa"/>
            <w:vAlign w:val="center"/>
          </w:tcPr>
          <w:p w14:paraId="01C90E4F"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0.127</w:t>
            </w:r>
          </w:p>
        </w:tc>
        <w:tc>
          <w:tcPr>
            <w:tcW w:w="1701" w:type="dxa"/>
            <w:vAlign w:val="center"/>
          </w:tcPr>
          <w:p w14:paraId="1936971D"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0.32</w:t>
            </w:r>
          </w:p>
        </w:tc>
        <w:tc>
          <w:tcPr>
            <w:tcW w:w="1417" w:type="dxa"/>
            <w:vAlign w:val="center"/>
          </w:tcPr>
          <w:p w14:paraId="5E4FDFAB"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4</w:t>
            </w:r>
          </w:p>
        </w:tc>
      </w:tr>
      <w:tr w:rsidR="00CA1648" w:rsidRPr="00CA1648" w14:paraId="6A92B4AD" w14:textId="77777777" w:rsidTr="003C609D">
        <w:trPr>
          <w:jc w:val="center"/>
        </w:trPr>
        <w:tc>
          <w:tcPr>
            <w:tcW w:w="3402" w:type="dxa"/>
            <w:vAlign w:val="center"/>
          </w:tcPr>
          <w:p w14:paraId="16D9143E"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Maluku</w:t>
            </w:r>
          </w:p>
        </w:tc>
        <w:tc>
          <w:tcPr>
            <w:tcW w:w="1984" w:type="dxa"/>
            <w:vAlign w:val="center"/>
          </w:tcPr>
          <w:p w14:paraId="20EA5F39"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0.097</w:t>
            </w:r>
          </w:p>
        </w:tc>
        <w:tc>
          <w:tcPr>
            <w:tcW w:w="1701" w:type="dxa"/>
            <w:vAlign w:val="center"/>
          </w:tcPr>
          <w:p w14:paraId="5A53D93C"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0.25</w:t>
            </w:r>
          </w:p>
        </w:tc>
        <w:tc>
          <w:tcPr>
            <w:tcW w:w="1417" w:type="dxa"/>
            <w:vAlign w:val="center"/>
          </w:tcPr>
          <w:p w14:paraId="5DC1B03B"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4</w:t>
            </w:r>
          </w:p>
        </w:tc>
      </w:tr>
      <w:tr w:rsidR="00CA1648" w:rsidRPr="00CA1648" w14:paraId="58945B94" w14:textId="77777777" w:rsidTr="003C609D">
        <w:trPr>
          <w:jc w:val="center"/>
        </w:trPr>
        <w:tc>
          <w:tcPr>
            <w:tcW w:w="3402" w:type="dxa"/>
            <w:vAlign w:val="center"/>
          </w:tcPr>
          <w:p w14:paraId="192A4A9C"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West Sulawesi</w:t>
            </w:r>
          </w:p>
        </w:tc>
        <w:tc>
          <w:tcPr>
            <w:tcW w:w="1984" w:type="dxa"/>
            <w:vAlign w:val="center"/>
          </w:tcPr>
          <w:p w14:paraId="067CFC85"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0.093</w:t>
            </w:r>
          </w:p>
        </w:tc>
        <w:tc>
          <w:tcPr>
            <w:tcW w:w="1701" w:type="dxa"/>
            <w:vAlign w:val="center"/>
          </w:tcPr>
          <w:p w14:paraId="03F0367D"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0.24</w:t>
            </w:r>
          </w:p>
        </w:tc>
        <w:tc>
          <w:tcPr>
            <w:tcW w:w="1417" w:type="dxa"/>
            <w:vAlign w:val="center"/>
          </w:tcPr>
          <w:p w14:paraId="3167076B"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4</w:t>
            </w:r>
          </w:p>
        </w:tc>
      </w:tr>
      <w:tr w:rsidR="00CA1648" w:rsidRPr="00CA1648" w14:paraId="365FEF24" w14:textId="77777777" w:rsidTr="003C609D">
        <w:trPr>
          <w:jc w:val="center"/>
        </w:trPr>
        <w:tc>
          <w:tcPr>
            <w:tcW w:w="3402" w:type="dxa"/>
            <w:vAlign w:val="center"/>
          </w:tcPr>
          <w:p w14:paraId="4E8A1016"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North Kalimantan</w:t>
            </w:r>
          </w:p>
        </w:tc>
        <w:tc>
          <w:tcPr>
            <w:tcW w:w="1984" w:type="dxa"/>
            <w:vAlign w:val="center"/>
          </w:tcPr>
          <w:p w14:paraId="2197F53C"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0.092</w:t>
            </w:r>
          </w:p>
        </w:tc>
        <w:tc>
          <w:tcPr>
            <w:tcW w:w="1701" w:type="dxa"/>
            <w:vAlign w:val="center"/>
          </w:tcPr>
          <w:p w14:paraId="5DA7BF15"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0.23</w:t>
            </w:r>
          </w:p>
        </w:tc>
        <w:tc>
          <w:tcPr>
            <w:tcW w:w="1417" w:type="dxa"/>
            <w:vAlign w:val="center"/>
          </w:tcPr>
          <w:p w14:paraId="075A82FE"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4</w:t>
            </w:r>
          </w:p>
        </w:tc>
      </w:tr>
      <w:tr w:rsidR="00CA1648" w:rsidRPr="00CA1648" w14:paraId="4530C8DF" w14:textId="77777777" w:rsidTr="003C609D">
        <w:trPr>
          <w:jc w:val="center"/>
        </w:trPr>
        <w:tc>
          <w:tcPr>
            <w:tcW w:w="3402" w:type="dxa"/>
            <w:vAlign w:val="center"/>
          </w:tcPr>
          <w:p w14:paraId="1965F9A5"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Southwest Papua</w:t>
            </w:r>
          </w:p>
        </w:tc>
        <w:tc>
          <w:tcPr>
            <w:tcW w:w="1984" w:type="dxa"/>
            <w:vAlign w:val="center"/>
          </w:tcPr>
          <w:p w14:paraId="7826DFF1"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0.055</w:t>
            </w:r>
          </w:p>
        </w:tc>
        <w:tc>
          <w:tcPr>
            <w:tcW w:w="1701" w:type="dxa"/>
            <w:vAlign w:val="center"/>
          </w:tcPr>
          <w:p w14:paraId="066A18D1"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0.14</w:t>
            </w:r>
          </w:p>
        </w:tc>
        <w:tc>
          <w:tcPr>
            <w:tcW w:w="1417" w:type="dxa"/>
            <w:vAlign w:val="center"/>
          </w:tcPr>
          <w:p w14:paraId="2F46AB92"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4</w:t>
            </w:r>
          </w:p>
        </w:tc>
      </w:tr>
      <w:tr w:rsidR="00CA1648" w:rsidRPr="00CA1648" w14:paraId="2D646653" w14:textId="77777777" w:rsidTr="003C609D">
        <w:trPr>
          <w:jc w:val="center"/>
        </w:trPr>
        <w:tc>
          <w:tcPr>
            <w:tcW w:w="3402" w:type="dxa"/>
            <w:vAlign w:val="center"/>
          </w:tcPr>
          <w:p w14:paraId="7B96DBC4"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West Papua</w:t>
            </w:r>
          </w:p>
        </w:tc>
        <w:tc>
          <w:tcPr>
            <w:tcW w:w="1984" w:type="dxa"/>
            <w:vAlign w:val="center"/>
          </w:tcPr>
          <w:p w14:paraId="6579D65A"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0.055</w:t>
            </w:r>
          </w:p>
        </w:tc>
        <w:tc>
          <w:tcPr>
            <w:tcW w:w="1701" w:type="dxa"/>
            <w:vAlign w:val="center"/>
          </w:tcPr>
          <w:p w14:paraId="0E21271F"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0.14</w:t>
            </w:r>
          </w:p>
        </w:tc>
        <w:tc>
          <w:tcPr>
            <w:tcW w:w="1417" w:type="dxa"/>
            <w:vAlign w:val="center"/>
          </w:tcPr>
          <w:p w14:paraId="28E67D5F"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4</w:t>
            </w:r>
          </w:p>
        </w:tc>
      </w:tr>
      <w:tr w:rsidR="00CA1648" w:rsidRPr="00CA1648" w14:paraId="12F31278" w14:textId="77777777" w:rsidTr="003C609D">
        <w:trPr>
          <w:jc w:val="center"/>
        </w:trPr>
        <w:tc>
          <w:tcPr>
            <w:tcW w:w="3402" w:type="dxa"/>
            <w:vAlign w:val="center"/>
          </w:tcPr>
          <w:p w14:paraId="7FB65C8F"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Central Papua</w:t>
            </w:r>
          </w:p>
        </w:tc>
        <w:tc>
          <w:tcPr>
            <w:tcW w:w="1984" w:type="dxa"/>
            <w:vAlign w:val="center"/>
          </w:tcPr>
          <w:p w14:paraId="1209D50F"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0.042</w:t>
            </w:r>
          </w:p>
        </w:tc>
        <w:tc>
          <w:tcPr>
            <w:tcW w:w="1701" w:type="dxa"/>
            <w:vAlign w:val="center"/>
          </w:tcPr>
          <w:p w14:paraId="1E3F64B6"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0.11</w:t>
            </w:r>
          </w:p>
        </w:tc>
        <w:tc>
          <w:tcPr>
            <w:tcW w:w="1417" w:type="dxa"/>
            <w:vAlign w:val="center"/>
          </w:tcPr>
          <w:p w14:paraId="01075FCE"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4</w:t>
            </w:r>
          </w:p>
        </w:tc>
      </w:tr>
      <w:tr w:rsidR="00CA1648" w:rsidRPr="00CA1648" w14:paraId="338028F6" w14:textId="77777777" w:rsidTr="003C609D">
        <w:trPr>
          <w:jc w:val="center"/>
        </w:trPr>
        <w:tc>
          <w:tcPr>
            <w:tcW w:w="3402" w:type="dxa"/>
            <w:vAlign w:val="center"/>
          </w:tcPr>
          <w:p w14:paraId="121834A7"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South Papua</w:t>
            </w:r>
          </w:p>
        </w:tc>
        <w:tc>
          <w:tcPr>
            <w:tcW w:w="1984" w:type="dxa"/>
            <w:vAlign w:val="center"/>
          </w:tcPr>
          <w:p w14:paraId="45A8AC58"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0.027</w:t>
            </w:r>
          </w:p>
        </w:tc>
        <w:tc>
          <w:tcPr>
            <w:tcW w:w="1701" w:type="dxa"/>
            <w:vAlign w:val="center"/>
          </w:tcPr>
          <w:p w14:paraId="72E87A9A"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0.07</w:t>
            </w:r>
          </w:p>
        </w:tc>
        <w:tc>
          <w:tcPr>
            <w:tcW w:w="1417" w:type="dxa"/>
            <w:vAlign w:val="center"/>
          </w:tcPr>
          <w:p w14:paraId="5BB46B2B"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4</w:t>
            </w:r>
          </w:p>
        </w:tc>
      </w:tr>
      <w:tr w:rsidR="00CA1648" w:rsidRPr="00CA1648" w14:paraId="5468B21E" w14:textId="77777777" w:rsidTr="003C609D">
        <w:trPr>
          <w:jc w:val="center"/>
        </w:trPr>
        <w:tc>
          <w:tcPr>
            <w:tcW w:w="3402" w:type="dxa"/>
            <w:vAlign w:val="center"/>
          </w:tcPr>
          <w:p w14:paraId="56B04520"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Highland Papua</w:t>
            </w:r>
          </w:p>
        </w:tc>
        <w:tc>
          <w:tcPr>
            <w:tcW w:w="1984" w:type="dxa"/>
            <w:vAlign w:val="center"/>
          </w:tcPr>
          <w:p w14:paraId="4358BBB6"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0.013</w:t>
            </w:r>
          </w:p>
        </w:tc>
        <w:tc>
          <w:tcPr>
            <w:tcW w:w="1701" w:type="dxa"/>
            <w:vAlign w:val="center"/>
          </w:tcPr>
          <w:p w14:paraId="3E25FBDA"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0.03</w:t>
            </w:r>
          </w:p>
        </w:tc>
        <w:tc>
          <w:tcPr>
            <w:tcW w:w="1417" w:type="dxa"/>
            <w:vAlign w:val="center"/>
          </w:tcPr>
          <w:p w14:paraId="523B9FA7" w14:textId="77777777" w:rsidR="00CA1648" w:rsidRPr="00CA1648" w:rsidRDefault="00CA1648" w:rsidP="008B3E55">
            <w:pPr>
              <w:spacing w:after="0" w:line="240" w:lineRule="auto"/>
              <w:ind w:left="360"/>
              <w:contextualSpacing/>
              <w:jc w:val="both"/>
              <w:rPr>
                <w:rFonts w:cs="Times New Roman"/>
                <w:szCs w:val="24"/>
              </w:rPr>
            </w:pPr>
            <w:r w:rsidRPr="00CA1648">
              <w:rPr>
                <w:rFonts w:cs="Times New Roman"/>
                <w:szCs w:val="24"/>
              </w:rPr>
              <w:t>Tier 4</w:t>
            </w:r>
          </w:p>
        </w:tc>
      </w:tr>
    </w:tbl>
    <w:p w14:paraId="5921D3AC" w14:textId="4F860AAE" w:rsidR="00324631" w:rsidRDefault="00CA1648" w:rsidP="00324631">
      <w:pPr>
        <w:spacing w:after="0"/>
        <w:ind w:left="360"/>
        <w:contextualSpacing/>
        <w:jc w:val="both"/>
        <w:rPr>
          <w:rFonts w:cs="Times New Roman"/>
          <w:szCs w:val="24"/>
        </w:rPr>
      </w:pPr>
      <w:r w:rsidRPr="00CA1648">
        <w:rPr>
          <w:rFonts w:cs="Times New Roman"/>
          <w:i/>
          <w:szCs w:val="24"/>
        </w:rPr>
        <w:t>Source: Author calculations from the supplied ASPI/</w:t>
      </w:r>
      <w:proofErr w:type="spellStart"/>
      <w:r w:rsidRPr="00CA1648">
        <w:rPr>
          <w:rFonts w:cs="Times New Roman"/>
          <w:i/>
          <w:szCs w:val="24"/>
        </w:rPr>
        <w:t>Databoks</w:t>
      </w:r>
      <w:proofErr w:type="spellEnd"/>
      <w:r w:rsidRPr="00CA1648">
        <w:rPr>
          <w:rFonts w:cs="Times New Roman"/>
          <w:i/>
          <w:szCs w:val="24"/>
        </w:rPr>
        <w:t xml:space="preserve"> provincial dataset.</w:t>
      </w:r>
    </w:p>
    <w:p w14:paraId="2C258DEF" w14:textId="2329B032" w:rsidR="00DD5535" w:rsidRPr="00DD5535" w:rsidRDefault="00DD5535" w:rsidP="00324631">
      <w:pPr>
        <w:spacing w:after="0"/>
        <w:ind w:firstLine="720"/>
        <w:contextualSpacing/>
        <w:jc w:val="both"/>
        <w:rPr>
          <w:rFonts w:cs="Times New Roman"/>
          <w:szCs w:val="24"/>
        </w:rPr>
      </w:pPr>
      <w:r w:rsidRPr="00DD5535">
        <w:rPr>
          <w:rFonts w:cs="Times New Roman"/>
          <w:b/>
          <w:szCs w:val="24"/>
        </w:rPr>
        <w:t xml:space="preserve">Table </w:t>
      </w:r>
      <w:r w:rsidR="00CA1648">
        <w:rPr>
          <w:rFonts w:cs="Times New Roman"/>
          <w:b/>
          <w:szCs w:val="24"/>
        </w:rPr>
        <w:t>6</w:t>
      </w:r>
      <w:r w:rsidRPr="00DD5535">
        <w:rPr>
          <w:rFonts w:cs="Times New Roman"/>
          <w:b/>
          <w:szCs w:val="24"/>
        </w:rPr>
        <w:t>. Ten provinces with the largest QRIS merchant networks, Q2 2025</w:t>
      </w:r>
    </w:p>
    <w:tbl>
      <w:tblPr>
        <w:tblStyle w:val="TableGrid"/>
        <w:tblW w:w="0" w:type="auto"/>
        <w:jc w:val="center"/>
        <w:tblLook w:val="04A0" w:firstRow="1" w:lastRow="0" w:firstColumn="1" w:lastColumn="0" w:noHBand="0" w:noVBand="1"/>
      </w:tblPr>
      <w:tblGrid>
        <w:gridCol w:w="850"/>
        <w:gridCol w:w="2835"/>
        <w:gridCol w:w="1984"/>
        <w:gridCol w:w="2268"/>
      </w:tblGrid>
      <w:tr w:rsidR="00DD5535" w:rsidRPr="00DD5535" w14:paraId="748F6E17" w14:textId="77777777" w:rsidTr="003C609D">
        <w:trPr>
          <w:jc w:val="center"/>
        </w:trPr>
        <w:tc>
          <w:tcPr>
            <w:tcW w:w="850" w:type="dxa"/>
            <w:shd w:val="clear" w:color="auto" w:fill="D9EAF7"/>
          </w:tcPr>
          <w:p w14:paraId="37C2E709" w14:textId="77777777" w:rsidR="00DD5535" w:rsidRPr="00DD5535" w:rsidRDefault="00DD5535" w:rsidP="008B3E55">
            <w:pPr>
              <w:spacing w:after="0" w:line="240" w:lineRule="auto"/>
              <w:contextualSpacing/>
              <w:jc w:val="both"/>
              <w:rPr>
                <w:rFonts w:cs="Times New Roman"/>
                <w:szCs w:val="24"/>
              </w:rPr>
            </w:pPr>
            <w:r w:rsidRPr="00DD5535">
              <w:rPr>
                <w:rFonts w:cs="Times New Roman"/>
                <w:b/>
                <w:szCs w:val="24"/>
              </w:rPr>
              <w:t>Rank</w:t>
            </w:r>
          </w:p>
        </w:tc>
        <w:tc>
          <w:tcPr>
            <w:tcW w:w="2835" w:type="dxa"/>
            <w:shd w:val="clear" w:color="auto" w:fill="D9EAF7"/>
          </w:tcPr>
          <w:p w14:paraId="4B261C9C" w14:textId="77777777" w:rsidR="00DD5535" w:rsidRPr="00DD5535" w:rsidRDefault="00DD5535" w:rsidP="008B3E55">
            <w:pPr>
              <w:spacing w:after="0" w:line="240" w:lineRule="auto"/>
              <w:contextualSpacing/>
              <w:jc w:val="both"/>
              <w:rPr>
                <w:rFonts w:cs="Times New Roman"/>
                <w:szCs w:val="24"/>
              </w:rPr>
            </w:pPr>
            <w:r w:rsidRPr="00DD5535">
              <w:rPr>
                <w:rFonts w:cs="Times New Roman"/>
                <w:b/>
                <w:szCs w:val="24"/>
              </w:rPr>
              <w:t>Province</w:t>
            </w:r>
          </w:p>
        </w:tc>
        <w:tc>
          <w:tcPr>
            <w:tcW w:w="1984" w:type="dxa"/>
            <w:shd w:val="clear" w:color="auto" w:fill="D9EAF7"/>
          </w:tcPr>
          <w:p w14:paraId="10246C6F" w14:textId="77777777" w:rsidR="00DD5535" w:rsidRPr="00DD5535" w:rsidRDefault="00DD5535" w:rsidP="008B3E55">
            <w:pPr>
              <w:spacing w:after="0" w:line="240" w:lineRule="auto"/>
              <w:contextualSpacing/>
              <w:jc w:val="both"/>
              <w:rPr>
                <w:rFonts w:cs="Times New Roman"/>
                <w:szCs w:val="24"/>
              </w:rPr>
            </w:pPr>
            <w:r w:rsidRPr="00DD5535">
              <w:rPr>
                <w:rFonts w:cs="Times New Roman"/>
                <w:b/>
                <w:szCs w:val="24"/>
              </w:rPr>
              <w:t>Merchants (million)</w:t>
            </w:r>
          </w:p>
        </w:tc>
        <w:tc>
          <w:tcPr>
            <w:tcW w:w="2268" w:type="dxa"/>
            <w:shd w:val="clear" w:color="auto" w:fill="D9EAF7"/>
          </w:tcPr>
          <w:p w14:paraId="6060970B" w14:textId="77777777" w:rsidR="00DD5535" w:rsidRPr="00DD5535" w:rsidRDefault="00DD5535" w:rsidP="008B3E55">
            <w:pPr>
              <w:spacing w:after="0" w:line="240" w:lineRule="auto"/>
              <w:contextualSpacing/>
              <w:jc w:val="both"/>
              <w:rPr>
                <w:rFonts w:cs="Times New Roman"/>
                <w:szCs w:val="24"/>
              </w:rPr>
            </w:pPr>
            <w:r w:rsidRPr="00DD5535">
              <w:rPr>
                <w:rFonts w:cs="Times New Roman"/>
                <w:b/>
                <w:szCs w:val="24"/>
              </w:rPr>
              <w:t>Share of provincial total (%)</w:t>
            </w:r>
          </w:p>
        </w:tc>
      </w:tr>
      <w:tr w:rsidR="00DD5535" w:rsidRPr="00DD5535" w14:paraId="5231B047" w14:textId="77777777" w:rsidTr="003C609D">
        <w:trPr>
          <w:jc w:val="center"/>
        </w:trPr>
        <w:tc>
          <w:tcPr>
            <w:tcW w:w="850" w:type="dxa"/>
            <w:vAlign w:val="center"/>
          </w:tcPr>
          <w:p w14:paraId="3D7F542E"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w:t>
            </w:r>
          </w:p>
        </w:tc>
        <w:tc>
          <w:tcPr>
            <w:tcW w:w="2835" w:type="dxa"/>
            <w:vAlign w:val="center"/>
          </w:tcPr>
          <w:p w14:paraId="58CD2ADF"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West Java</w:t>
            </w:r>
          </w:p>
        </w:tc>
        <w:tc>
          <w:tcPr>
            <w:tcW w:w="1984" w:type="dxa"/>
            <w:vAlign w:val="center"/>
          </w:tcPr>
          <w:p w14:paraId="51F295C3"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8.380</w:t>
            </w:r>
          </w:p>
        </w:tc>
        <w:tc>
          <w:tcPr>
            <w:tcW w:w="2268" w:type="dxa"/>
            <w:vAlign w:val="center"/>
          </w:tcPr>
          <w:p w14:paraId="62683121"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21.32</w:t>
            </w:r>
          </w:p>
        </w:tc>
      </w:tr>
      <w:tr w:rsidR="00DD5535" w:rsidRPr="00DD5535" w14:paraId="1AA4CEDC" w14:textId="77777777" w:rsidTr="003C609D">
        <w:trPr>
          <w:jc w:val="center"/>
        </w:trPr>
        <w:tc>
          <w:tcPr>
            <w:tcW w:w="850" w:type="dxa"/>
            <w:vAlign w:val="center"/>
          </w:tcPr>
          <w:p w14:paraId="57448635"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2</w:t>
            </w:r>
          </w:p>
        </w:tc>
        <w:tc>
          <w:tcPr>
            <w:tcW w:w="2835" w:type="dxa"/>
            <w:vAlign w:val="center"/>
          </w:tcPr>
          <w:p w14:paraId="7ADD871A"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Jakarta</w:t>
            </w:r>
          </w:p>
        </w:tc>
        <w:tc>
          <w:tcPr>
            <w:tcW w:w="1984" w:type="dxa"/>
            <w:vAlign w:val="center"/>
          </w:tcPr>
          <w:p w14:paraId="1F94E735"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6.170</w:t>
            </w:r>
          </w:p>
        </w:tc>
        <w:tc>
          <w:tcPr>
            <w:tcW w:w="2268" w:type="dxa"/>
            <w:vAlign w:val="center"/>
          </w:tcPr>
          <w:p w14:paraId="2E76B259"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15.69</w:t>
            </w:r>
          </w:p>
        </w:tc>
      </w:tr>
      <w:tr w:rsidR="00DD5535" w:rsidRPr="00DD5535" w14:paraId="59C8C8DD" w14:textId="77777777" w:rsidTr="003C609D">
        <w:trPr>
          <w:jc w:val="center"/>
        </w:trPr>
        <w:tc>
          <w:tcPr>
            <w:tcW w:w="850" w:type="dxa"/>
            <w:vAlign w:val="center"/>
          </w:tcPr>
          <w:p w14:paraId="3FA08F2F"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3</w:t>
            </w:r>
          </w:p>
        </w:tc>
        <w:tc>
          <w:tcPr>
            <w:tcW w:w="2835" w:type="dxa"/>
            <w:vAlign w:val="center"/>
          </w:tcPr>
          <w:p w14:paraId="0DA1DFEF"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East Java</w:t>
            </w:r>
          </w:p>
        </w:tc>
        <w:tc>
          <w:tcPr>
            <w:tcW w:w="1984" w:type="dxa"/>
            <w:vAlign w:val="center"/>
          </w:tcPr>
          <w:p w14:paraId="16188FD8"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4.660</w:t>
            </w:r>
          </w:p>
        </w:tc>
        <w:tc>
          <w:tcPr>
            <w:tcW w:w="2268" w:type="dxa"/>
            <w:vAlign w:val="center"/>
          </w:tcPr>
          <w:p w14:paraId="475317E7"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11.85</w:t>
            </w:r>
          </w:p>
        </w:tc>
      </w:tr>
      <w:tr w:rsidR="00DD5535" w:rsidRPr="00DD5535" w14:paraId="242F0AF5" w14:textId="77777777" w:rsidTr="003C609D">
        <w:trPr>
          <w:jc w:val="center"/>
        </w:trPr>
        <w:tc>
          <w:tcPr>
            <w:tcW w:w="850" w:type="dxa"/>
            <w:vAlign w:val="center"/>
          </w:tcPr>
          <w:p w14:paraId="06CEBF39"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4</w:t>
            </w:r>
          </w:p>
        </w:tc>
        <w:tc>
          <w:tcPr>
            <w:tcW w:w="2835" w:type="dxa"/>
            <w:vAlign w:val="center"/>
          </w:tcPr>
          <w:p w14:paraId="448AA7A0"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Central Java</w:t>
            </w:r>
          </w:p>
        </w:tc>
        <w:tc>
          <w:tcPr>
            <w:tcW w:w="1984" w:type="dxa"/>
            <w:vAlign w:val="center"/>
          </w:tcPr>
          <w:p w14:paraId="164D8EA0"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3.990</w:t>
            </w:r>
          </w:p>
        </w:tc>
        <w:tc>
          <w:tcPr>
            <w:tcW w:w="2268" w:type="dxa"/>
            <w:vAlign w:val="center"/>
          </w:tcPr>
          <w:p w14:paraId="38656060"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10.15</w:t>
            </w:r>
          </w:p>
        </w:tc>
      </w:tr>
      <w:tr w:rsidR="00DD5535" w:rsidRPr="00DD5535" w14:paraId="6AC8DD77" w14:textId="77777777" w:rsidTr="003C609D">
        <w:trPr>
          <w:jc w:val="center"/>
        </w:trPr>
        <w:tc>
          <w:tcPr>
            <w:tcW w:w="850" w:type="dxa"/>
            <w:vAlign w:val="center"/>
          </w:tcPr>
          <w:p w14:paraId="3BC428CE"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5</w:t>
            </w:r>
          </w:p>
        </w:tc>
        <w:tc>
          <w:tcPr>
            <w:tcW w:w="2835" w:type="dxa"/>
            <w:vAlign w:val="center"/>
          </w:tcPr>
          <w:p w14:paraId="6F5E2B78"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Banten</w:t>
            </w:r>
          </w:p>
        </w:tc>
        <w:tc>
          <w:tcPr>
            <w:tcW w:w="1984" w:type="dxa"/>
            <w:vAlign w:val="center"/>
          </w:tcPr>
          <w:p w14:paraId="0AB6831F"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2.350</w:t>
            </w:r>
          </w:p>
        </w:tc>
        <w:tc>
          <w:tcPr>
            <w:tcW w:w="2268" w:type="dxa"/>
            <w:vAlign w:val="center"/>
          </w:tcPr>
          <w:p w14:paraId="16D0FEBA"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5.98</w:t>
            </w:r>
          </w:p>
        </w:tc>
      </w:tr>
      <w:tr w:rsidR="00DD5535" w:rsidRPr="00DD5535" w14:paraId="7DB770CB" w14:textId="77777777" w:rsidTr="003C609D">
        <w:trPr>
          <w:jc w:val="center"/>
        </w:trPr>
        <w:tc>
          <w:tcPr>
            <w:tcW w:w="850" w:type="dxa"/>
            <w:vAlign w:val="center"/>
          </w:tcPr>
          <w:p w14:paraId="36E50B67"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6</w:t>
            </w:r>
          </w:p>
        </w:tc>
        <w:tc>
          <w:tcPr>
            <w:tcW w:w="2835" w:type="dxa"/>
            <w:vAlign w:val="center"/>
          </w:tcPr>
          <w:p w14:paraId="0BF33AEC"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North Sumatra</w:t>
            </w:r>
          </w:p>
        </w:tc>
        <w:tc>
          <w:tcPr>
            <w:tcW w:w="1984" w:type="dxa"/>
            <w:vAlign w:val="center"/>
          </w:tcPr>
          <w:p w14:paraId="0D2834AC"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1.500</w:t>
            </w:r>
          </w:p>
        </w:tc>
        <w:tc>
          <w:tcPr>
            <w:tcW w:w="2268" w:type="dxa"/>
            <w:vAlign w:val="center"/>
          </w:tcPr>
          <w:p w14:paraId="5A796228"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3.82</w:t>
            </w:r>
          </w:p>
        </w:tc>
      </w:tr>
      <w:tr w:rsidR="00DD5535" w:rsidRPr="00DD5535" w14:paraId="6862AA45" w14:textId="77777777" w:rsidTr="003C609D">
        <w:trPr>
          <w:jc w:val="center"/>
        </w:trPr>
        <w:tc>
          <w:tcPr>
            <w:tcW w:w="850" w:type="dxa"/>
            <w:vAlign w:val="center"/>
          </w:tcPr>
          <w:p w14:paraId="016F1AE7"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7</w:t>
            </w:r>
          </w:p>
        </w:tc>
        <w:tc>
          <w:tcPr>
            <w:tcW w:w="2835" w:type="dxa"/>
            <w:vAlign w:val="center"/>
          </w:tcPr>
          <w:p w14:paraId="1E67CCD6"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South Sulawesi</w:t>
            </w:r>
          </w:p>
        </w:tc>
        <w:tc>
          <w:tcPr>
            <w:tcW w:w="1984" w:type="dxa"/>
            <w:vAlign w:val="center"/>
          </w:tcPr>
          <w:p w14:paraId="0F29FB13"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1.230</w:t>
            </w:r>
          </w:p>
        </w:tc>
        <w:tc>
          <w:tcPr>
            <w:tcW w:w="2268" w:type="dxa"/>
            <w:vAlign w:val="center"/>
          </w:tcPr>
          <w:p w14:paraId="5891B1E6"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3.13</w:t>
            </w:r>
          </w:p>
        </w:tc>
      </w:tr>
      <w:tr w:rsidR="00DD5535" w:rsidRPr="00DD5535" w14:paraId="0AA0C580" w14:textId="77777777" w:rsidTr="003C609D">
        <w:trPr>
          <w:jc w:val="center"/>
        </w:trPr>
        <w:tc>
          <w:tcPr>
            <w:tcW w:w="850" w:type="dxa"/>
            <w:vAlign w:val="center"/>
          </w:tcPr>
          <w:p w14:paraId="2C2AF5D4"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8</w:t>
            </w:r>
          </w:p>
        </w:tc>
        <w:tc>
          <w:tcPr>
            <w:tcW w:w="2835" w:type="dxa"/>
            <w:vAlign w:val="center"/>
          </w:tcPr>
          <w:p w14:paraId="07259AEA"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South Sumatra</w:t>
            </w:r>
          </w:p>
        </w:tc>
        <w:tc>
          <w:tcPr>
            <w:tcW w:w="1984" w:type="dxa"/>
            <w:vAlign w:val="center"/>
          </w:tcPr>
          <w:p w14:paraId="48B4AEC4"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1.000</w:t>
            </w:r>
          </w:p>
        </w:tc>
        <w:tc>
          <w:tcPr>
            <w:tcW w:w="2268" w:type="dxa"/>
            <w:vAlign w:val="center"/>
          </w:tcPr>
          <w:p w14:paraId="56A1720A"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2.54</w:t>
            </w:r>
          </w:p>
        </w:tc>
      </w:tr>
      <w:tr w:rsidR="00DD5535" w:rsidRPr="00DD5535" w14:paraId="7BC4D67F" w14:textId="77777777" w:rsidTr="003C609D">
        <w:trPr>
          <w:jc w:val="center"/>
        </w:trPr>
        <w:tc>
          <w:tcPr>
            <w:tcW w:w="850" w:type="dxa"/>
            <w:vAlign w:val="center"/>
          </w:tcPr>
          <w:p w14:paraId="54C56723"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9</w:t>
            </w:r>
          </w:p>
        </w:tc>
        <w:tc>
          <w:tcPr>
            <w:tcW w:w="2835" w:type="dxa"/>
            <w:vAlign w:val="center"/>
          </w:tcPr>
          <w:p w14:paraId="341286ED"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Bali</w:t>
            </w:r>
          </w:p>
        </w:tc>
        <w:tc>
          <w:tcPr>
            <w:tcW w:w="1984" w:type="dxa"/>
            <w:vAlign w:val="center"/>
          </w:tcPr>
          <w:p w14:paraId="45CF0A70"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0.996</w:t>
            </w:r>
          </w:p>
        </w:tc>
        <w:tc>
          <w:tcPr>
            <w:tcW w:w="2268" w:type="dxa"/>
            <w:vAlign w:val="center"/>
          </w:tcPr>
          <w:p w14:paraId="32D04A72"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2.53</w:t>
            </w:r>
          </w:p>
        </w:tc>
      </w:tr>
      <w:tr w:rsidR="00DD5535" w:rsidRPr="00DD5535" w14:paraId="0361B5B6" w14:textId="77777777" w:rsidTr="003C609D">
        <w:trPr>
          <w:jc w:val="center"/>
        </w:trPr>
        <w:tc>
          <w:tcPr>
            <w:tcW w:w="850" w:type="dxa"/>
            <w:vAlign w:val="center"/>
          </w:tcPr>
          <w:p w14:paraId="4965B33B"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10</w:t>
            </w:r>
          </w:p>
        </w:tc>
        <w:tc>
          <w:tcPr>
            <w:tcW w:w="2835" w:type="dxa"/>
            <w:vAlign w:val="center"/>
          </w:tcPr>
          <w:p w14:paraId="5D99CA41"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DI Yogyakarta</w:t>
            </w:r>
          </w:p>
        </w:tc>
        <w:tc>
          <w:tcPr>
            <w:tcW w:w="1984" w:type="dxa"/>
            <w:vAlign w:val="center"/>
          </w:tcPr>
          <w:p w14:paraId="6FF10810"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0.941</w:t>
            </w:r>
          </w:p>
        </w:tc>
        <w:tc>
          <w:tcPr>
            <w:tcW w:w="2268" w:type="dxa"/>
            <w:vAlign w:val="center"/>
          </w:tcPr>
          <w:p w14:paraId="0CCF2F99" w14:textId="77777777" w:rsidR="00DD5535" w:rsidRPr="00DD5535" w:rsidRDefault="00DD5535" w:rsidP="008B3E55">
            <w:pPr>
              <w:spacing w:after="0" w:line="240" w:lineRule="auto"/>
              <w:contextualSpacing/>
              <w:jc w:val="both"/>
              <w:rPr>
                <w:rFonts w:cs="Times New Roman"/>
                <w:szCs w:val="24"/>
              </w:rPr>
            </w:pPr>
            <w:r w:rsidRPr="00DD5535">
              <w:rPr>
                <w:rFonts w:cs="Times New Roman"/>
                <w:szCs w:val="24"/>
              </w:rPr>
              <w:t>2.39</w:t>
            </w:r>
          </w:p>
        </w:tc>
      </w:tr>
    </w:tbl>
    <w:p w14:paraId="5684B246" w14:textId="01C2430E" w:rsidR="00DD5535" w:rsidRDefault="00DD5535" w:rsidP="00324631">
      <w:pPr>
        <w:spacing w:after="0"/>
        <w:ind w:left="720"/>
        <w:contextualSpacing/>
        <w:jc w:val="both"/>
        <w:rPr>
          <w:rFonts w:cs="Times New Roman"/>
          <w:i/>
          <w:szCs w:val="24"/>
        </w:rPr>
      </w:pPr>
      <w:r w:rsidRPr="00DD5535">
        <w:rPr>
          <w:rFonts w:cs="Times New Roman"/>
          <w:i/>
          <w:szCs w:val="24"/>
        </w:rPr>
        <w:t>Source: Author calculations from the supplied ASPI/</w:t>
      </w:r>
      <w:proofErr w:type="spellStart"/>
      <w:r w:rsidRPr="00DD5535">
        <w:rPr>
          <w:rFonts w:cs="Times New Roman"/>
          <w:i/>
          <w:szCs w:val="24"/>
        </w:rPr>
        <w:t>Databoks</w:t>
      </w:r>
      <w:proofErr w:type="spellEnd"/>
      <w:r w:rsidRPr="00DD5535">
        <w:rPr>
          <w:rFonts w:cs="Times New Roman"/>
          <w:i/>
          <w:szCs w:val="24"/>
        </w:rPr>
        <w:t xml:space="preserve"> provincial merchant dataset, 30 June 2025.</w:t>
      </w:r>
    </w:p>
    <w:p w14:paraId="3BB8193F" w14:textId="77777777" w:rsidR="00DD5535" w:rsidRPr="00DD5535" w:rsidRDefault="00DD5535" w:rsidP="008B3E55">
      <w:pPr>
        <w:spacing w:after="0"/>
        <w:contextualSpacing/>
        <w:jc w:val="center"/>
        <w:rPr>
          <w:rFonts w:cs="Times New Roman"/>
          <w:szCs w:val="24"/>
        </w:rPr>
      </w:pPr>
      <w:r w:rsidRPr="00DD5535">
        <w:rPr>
          <w:rFonts w:cs="Times New Roman"/>
          <w:noProof/>
          <w:szCs w:val="24"/>
        </w:rPr>
        <w:lastRenderedPageBreak/>
        <w:drawing>
          <wp:inline distT="0" distB="0" distL="0" distR="0" wp14:anchorId="0A24D2C0" wp14:editId="430AED4D">
            <wp:extent cx="3149600" cy="20472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png"/>
                    <pic:cNvPicPr/>
                  </pic:nvPicPr>
                  <pic:blipFill>
                    <a:blip r:embed="rId10"/>
                    <a:stretch>
                      <a:fillRect/>
                    </a:stretch>
                  </pic:blipFill>
                  <pic:spPr>
                    <a:xfrm>
                      <a:off x="0" y="0"/>
                      <a:ext cx="3152105" cy="2048868"/>
                    </a:xfrm>
                    <a:prstGeom prst="rect">
                      <a:avLst/>
                    </a:prstGeom>
                  </pic:spPr>
                </pic:pic>
              </a:graphicData>
            </a:graphic>
          </wp:inline>
        </w:drawing>
      </w:r>
    </w:p>
    <w:p w14:paraId="20AD5C5B" w14:textId="77777777" w:rsidR="00DD5535" w:rsidRPr="00DD5535" w:rsidRDefault="00DD5535" w:rsidP="00324631">
      <w:pPr>
        <w:spacing w:after="0"/>
        <w:ind w:left="720" w:firstLine="720"/>
        <w:contextualSpacing/>
        <w:jc w:val="both"/>
        <w:rPr>
          <w:rFonts w:cs="Times New Roman"/>
          <w:szCs w:val="24"/>
        </w:rPr>
      </w:pPr>
      <w:r w:rsidRPr="00DD5535">
        <w:rPr>
          <w:rFonts w:cs="Times New Roman"/>
          <w:b/>
          <w:szCs w:val="24"/>
        </w:rPr>
        <w:t>Figure 2. Top ten provinces by QRIS merchant count, 30 June 2025</w:t>
      </w:r>
    </w:p>
    <w:p w14:paraId="35BCDA10" w14:textId="77777777" w:rsidR="00DD5535" w:rsidRPr="00DD5535" w:rsidRDefault="00DD5535" w:rsidP="003F1BBE">
      <w:pPr>
        <w:spacing w:after="0"/>
        <w:ind w:left="1440"/>
        <w:contextualSpacing/>
        <w:jc w:val="both"/>
        <w:rPr>
          <w:rFonts w:cs="Times New Roman"/>
          <w:szCs w:val="24"/>
        </w:rPr>
      </w:pPr>
      <w:r w:rsidRPr="00DD5535">
        <w:rPr>
          <w:rFonts w:cs="Times New Roman"/>
          <w:i/>
          <w:szCs w:val="24"/>
        </w:rPr>
        <w:t>Source: Author visualization based on the supplied ASPI/</w:t>
      </w:r>
      <w:proofErr w:type="spellStart"/>
      <w:r w:rsidRPr="00DD5535">
        <w:rPr>
          <w:rFonts w:cs="Times New Roman"/>
          <w:i/>
          <w:szCs w:val="24"/>
        </w:rPr>
        <w:t>Databoks</w:t>
      </w:r>
      <w:proofErr w:type="spellEnd"/>
      <w:r w:rsidRPr="00DD5535">
        <w:rPr>
          <w:rFonts w:cs="Times New Roman"/>
          <w:i/>
          <w:szCs w:val="24"/>
        </w:rPr>
        <w:t xml:space="preserve"> provincial dataset.</w:t>
      </w:r>
    </w:p>
    <w:p w14:paraId="29066AD6" w14:textId="370B9D3D" w:rsidR="00DD5535" w:rsidRDefault="00DD5535" w:rsidP="00324631">
      <w:pPr>
        <w:spacing w:after="0"/>
        <w:ind w:left="360"/>
        <w:contextualSpacing/>
        <w:jc w:val="both"/>
        <w:rPr>
          <w:rFonts w:cs="Times New Roman"/>
          <w:szCs w:val="24"/>
        </w:rPr>
      </w:pPr>
      <w:r w:rsidRPr="00DD5535">
        <w:rPr>
          <w:rFonts w:cs="Times New Roman"/>
          <w:szCs w:val="24"/>
        </w:rPr>
        <w:t>Concentration should not automatically be labelled a policy failure. Large provinces have bigger populations, denser retail markets, more payment-service agents, and stronger network effects. However, absolute merchant counts can conceal underdeveloped adoption intensity in smaller provinces and within rural districts of large provinces. National targets should therefore be complemented by density, active-use, and district-level indicators.</w:t>
      </w:r>
    </w:p>
    <w:p w14:paraId="763D511B" w14:textId="77777777" w:rsidR="00DD5535" w:rsidRPr="00DD5535" w:rsidRDefault="00DD5535" w:rsidP="00324631">
      <w:pPr>
        <w:pStyle w:val="Heading2"/>
        <w:spacing w:before="0" w:after="0"/>
      </w:pPr>
      <w:r w:rsidRPr="00DD5535">
        <w:t>4.5 Consumer Expansion and Two-Sided Network Development</w:t>
      </w:r>
    </w:p>
    <w:p w14:paraId="295D6FF2" w14:textId="77777777" w:rsidR="00DD5535" w:rsidRPr="00DD5535" w:rsidRDefault="00DD5535" w:rsidP="00324631">
      <w:pPr>
        <w:spacing w:after="0"/>
        <w:ind w:left="360"/>
        <w:contextualSpacing/>
        <w:jc w:val="both"/>
        <w:rPr>
          <w:rFonts w:cs="Times New Roman"/>
          <w:szCs w:val="24"/>
        </w:rPr>
      </w:pPr>
      <w:r w:rsidRPr="00DD5535">
        <w:rPr>
          <w:rFonts w:cs="Times New Roman"/>
          <w:szCs w:val="24"/>
        </w:rPr>
        <w:t>QRIS functions as a two-sided network: merchant acceptance becomes more valuable when more consumers can pay, and consumer adoption becomes more useful when more merchants accept the standard. Consumer users increased from approximately 18 million in Q1 2022 to 60 million in Q4 2025. At the end of 2025, the system served about 60 million consumers and 43 million merchants, suggesting that both sides of the network continued to widen rather than one side expanding in isolation.</w:t>
      </w:r>
    </w:p>
    <w:p w14:paraId="009C6990" w14:textId="77777777" w:rsidR="00DD5535" w:rsidRPr="00DD5535" w:rsidRDefault="00DD5535" w:rsidP="00C11106">
      <w:pPr>
        <w:spacing w:after="0"/>
        <w:contextualSpacing/>
        <w:jc w:val="center"/>
        <w:rPr>
          <w:rFonts w:cs="Times New Roman"/>
          <w:szCs w:val="24"/>
        </w:rPr>
      </w:pPr>
      <w:r w:rsidRPr="00DD5535">
        <w:rPr>
          <w:rFonts w:cs="Times New Roman"/>
          <w:noProof/>
          <w:szCs w:val="24"/>
        </w:rPr>
        <w:drawing>
          <wp:inline distT="0" distB="0" distL="0" distR="0" wp14:anchorId="73F5BD68" wp14:editId="4B50CC1C">
            <wp:extent cx="2901244" cy="16319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3.png"/>
                    <pic:cNvPicPr/>
                  </pic:nvPicPr>
                  <pic:blipFill>
                    <a:blip r:embed="rId11"/>
                    <a:stretch>
                      <a:fillRect/>
                    </a:stretch>
                  </pic:blipFill>
                  <pic:spPr>
                    <a:xfrm>
                      <a:off x="0" y="0"/>
                      <a:ext cx="2906419" cy="1634861"/>
                    </a:xfrm>
                    <a:prstGeom prst="rect">
                      <a:avLst/>
                    </a:prstGeom>
                  </pic:spPr>
                </pic:pic>
              </a:graphicData>
            </a:graphic>
          </wp:inline>
        </w:drawing>
      </w:r>
    </w:p>
    <w:p w14:paraId="0B8A7A34" w14:textId="77777777" w:rsidR="00DD5535" w:rsidRPr="00DD5535" w:rsidRDefault="00DD5535" w:rsidP="00717FED">
      <w:pPr>
        <w:spacing w:after="0"/>
        <w:ind w:firstLine="720"/>
        <w:contextualSpacing/>
        <w:jc w:val="both"/>
        <w:rPr>
          <w:rFonts w:cs="Times New Roman"/>
          <w:szCs w:val="24"/>
        </w:rPr>
      </w:pPr>
      <w:r w:rsidRPr="00DD5535">
        <w:rPr>
          <w:rFonts w:cs="Times New Roman"/>
          <w:b/>
          <w:szCs w:val="24"/>
        </w:rPr>
        <w:t>Figure 3. QRIS consumer users in Indonesia, Q1 2022-Q4 2025</w:t>
      </w:r>
    </w:p>
    <w:p w14:paraId="5A7EDBE8" w14:textId="6DBE1C62" w:rsidR="00DD5535" w:rsidRDefault="00DD5535" w:rsidP="00717FED">
      <w:pPr>
        <w:spacing w:after="0"/>
        <w:ind w:firstLine="720"/>
        <w:contextualSpacing/>
        <w:jc w:val="both"/>
        <w:rPr>
          <w:rFonts w:cs="Times New Roman"/>
          <w:i/>
          <w:szCs w:val="24"/>
        </w:rPr>
      </w:pPr>
      <w:r w:rsidRPr="00DD5535">
        <w:rPr>
          <w:rFonts w:cs="Times New Roman"/>
          <w:i/>
          <w:szCs w:val="24"/>
        </w:rPr>
        <w:lastRenderedPageBreak/>
        <w:t>Source: Author visualization based on the supplied ASPI/</w:t>
      </w:r>
      <w:proofErr w:type="spellStart"/>
      <w:r w:rsidRPr="00DD5535">
        <w:rPr>
          <w:rFonts w:cs="Times New Roman"/>
          <w:i/>
          <w:szCs w:val="24"/>
        </w:rPr>
        <w:t>Databoks</w:t>
      </w:r>
      <w:proofErr w:type="spellEnd"/>
      <w:r w:rsidRPr="00DD5535">
        <w:rPr>
          <w:rFonts w:cs="Times New Roman"/>
          <w:i/>
          <w:szCs w:val="24"/>
        </w:rPr>
        <w:t xml:space="preserve"> consumer-user dataset.</w:t>
      </w:r>
    </w:p>
    <w:p w14:paraId="4FC72F68" w14:textId="24359933" w:rsidR="00DD5535" w:rsidRPr="00DD5535" w:rsidRDefault="00DD5535" w:rsidP="00717FED">
      <w:pPr>
        <w:spacing w:after="0"/>
        <w:ind w:firstLine="720"/>
        <w:contextualSpacing/>
        <w:jc w:val="both"/>
        <w:rPr>
          <w:rFonts w:cs="Times New Roman"/>
          <w:szCs w:val="24"/>
        </w:rPr>
      </w:pPr>
      <w:r w:rsidRPr="00DD5535">
        <w:rPr>
          <w:rFonts w:cs="Times New Roman"/>
          <w:b/>
          <w:szCs w:val="24"/>
        </w:rPr>
        <w:t xml:space="preserve">Table </w:t>
      </w:r>
      <w:r w:rsidR="00CA1648">
        <w:rPr>
          <w:rFonts w:cs="Times New Roman"/>
          <w:b/>
          <w:szCs w:val="24"/>
        </w:rPr>
        <w:t>7</w:t>
      </w:r>
      <w:r w:rsidRPr="00DD5535">
        <w:rPr>
          <w:rFonts w:cs="Times New Roman"/>
          <w:b/>
          <w:szCs w:val="24"/>
        </w:rPr>
        <w:t>. End-of-year QRIS consumer and merchant indicators, 2022-2025</w:t>
      </w:r>
    </w:p>
    <w:tbl>
      <w:tblPr>
        <w:tblStyle w:val="TableGrid"/>
        <w:tblW w:w="0" w:type="auto"/>
        <w:jc w:val="center"/>
        <w:tblLook w:val="04A0" w:firstRow="1" w:lastRow="0" w:firstColumn="1" w:lastColumn="0" w:noHBand="0" w:noVBand="1"/>
      </w:tblPr>
      <w:tblGrid>
        <w:gridCol w:w="1133"/>
        <w:gridCol w:w="2265"/>
        <w:gridCol w:w="2265"/>
        <w:gridCol w:w="2831"/>
      </w:tblGrid>
      <w:tr w:rsidR="00DD5535" w:rsidRPr="00DD5535" w14:paraId="24D40BAB" w14:textId="77777777" w:rsidTr="003C609D">
        <w:trPr>
          <w:jc w:val="center"/>
        </w:trPr>
        <w:tc>
          <w:tcPr>
            <w:tcW w:w="1134" w:type="dxa"/>
            <w:shd w:val="clear" w:color="auto" w:fill="D9EAF7"/>
          </w:tcPr>
          <w:p w14:paraId="27727BF4" w14:textId="77777777" w:rsidR="00DD5535" w:rsidRPr="00DD5535" w:rsidRDefault="00DD5535" w:rsidP="00C11106">
            <w:pPr>
              <w:spacing w:after="0" w:line="240" w:lineRule="auto"/>
              <w:contextualSpacing/>
              <w:jc w:val="both"/>
              <w:rPr>
                <w:rFonts w:cs="Times New Roman"/>
                <w:szCs w:val="24"/>
              </w:rPr>
            </w:pPr>
            <w:r w:rsidRPr="00DD5535">
              <w:rPr>
                <w:rFonts w:cs="Times New Roman"/>
                <w:b/>
                <w:szCs w:val="24"/>
              </w:rPr>
              <w:t>Year</w:t>
            </w:r>
          </w:p>
        </w:tc>
        <w:tc>
          <w:tcPr>
            <w:tcW w:w="2268" w:type="dxa"/>
            <w:shd w:val="clear" w:color="auto" w:fill="D9EAF7"/>
          </w:tcPr>
          <w:p w14:paraId="6E0A0AF1" w14:textId="77777777" w:rsidR="00DD5535" w:rsidRPr="00DD5535" w:rsidRDefault="00DD5535" w:rsidP="00C11106">
            <w:pPr>
              <w:spacing w:after="0" w:line="240" w:lineRule="auto"/>
              <w:contextualSpacing/>
              <w:jc w:val="both"/>
              <w:rPr>
                <w:rFonts w:cs="Times New Roman"/>
                <w:szCs w:val="24"/>
              </w:rPr>
            </w:pPr>
            <w:r w:rsidRPr="00DD5535">
              <w:rPr>
                <w:rFonts w:cs="Times New Roman"/>
                <w:b/>
                <w:szCs w:val="24"/>
              </w:rPr>
              <w:t>Consumer users (million)</w:t>
            </w:r>
          </w:p>
        </w:tc>
        <w:tc>
          <w:tcPr>
            <w:tcW w:w="2268" w:type="dxa"/>
            <w:shd w:val="clear" w:color="auto" w:fill="D9EAF7"/>
          </w:tcPr>
          <w:p w14:paraId="1252AE73" w14:textId="77777777" w:rsidR="00DD5535" w:rsidRPr="00DD5535" w:rsidRDefault="00DD5535" w:rsidP="00C11106">
            <w:pPr>
              <w:spacing w:after="0" w:line="240" w:lineRule="auto"/>
              <w:contextualSpacing/>
              <w:jc w:val="both"/>
              <w:rPr>
                <w:rFonts w:cs="Times New Roman"/>
                <w:szCs w:val="24"/>
              </w:rPr>
            </w:pPr>
            <w:r w:rsidRPr="00DD5535">
              <w:rPr>
                <w:rFonts w:cs="Times New Roman"/>
                <w:b/>
                <w:szCs w:val="24"/>
              </w:rPr>
              <w:t>Merchants (million)</w:t>
            </w:r>
          </w:p>
        </w:tc>
        <w:tc>
          <w:tcPr>
            <w:tcW w:w="2835" w:type="dxa"/>
            <w:shd w:val="clear" w:color="auto" w:fill="D9EAF7"/>
          </w:tcPr>
          <w:p w14:paraId="08FB1EAA" w14:textId="77777777" w:rsidR="00DD5535" w:rsidRPr="00DD5535" w:rsidRDefault="00DD5535" w:rsidP="00C11106">
            <w:pPr>
              <w:spacing w:after="0" w:line="240" w:lineRule="auto"/>
              <w:contextualSpacing/>
              <w:jc w:val="both"/>
              <w:rPr>
                <w:rFonts w:cs="Times New Roman"/>
                <w:szCs w:val="24"/>
              </w:rPr>
            </w:pPr>
            <w:r w:rsidRPr="00DD5535">
              <w:rPr>
                <w:rFonts w:cs="Times New Roman"/>
                <w:b/>
                <w:szCs w:val="24"/>
              </w:rPr>
              <w:t>Consumers per registered merchant</w:t>
            </w:r>
          </w:p>
        </w:tc>
      </w:tr>
      <w:tr w:rsidR="00DD5535" w:rsidRPr="00DD5535" w14:paraId="72416E00" w14:textId="77777777" w:rsidTr="003C609D">
        <w:trPr>
          <w:jc w:val="center"/>
        </w:trPr>
        <w:tc>
          <w:tcPr>
            <w:tcW w:w="1134" w:type="dxa"/>
            <w:vAlign w:val="center"/>
          </w:tcPr>
          <w:p w14:paraId="75D06387"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2022</w:t>
            </w:r>
          </w:p>
        </w:tc>
        <w:tc>
          <w:tcPr>
            <w:tcW w:w="2268" w:type="dxa"/>
            <w:vAlign w:val="center"/>
          </w:tcPr>
          <w:p w14:paraId="56872C06"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29</w:t>
            </w:r>
          </w:p>
        </w:tc>
        <w:tc>
          <w:tcPr>
            <w:tcW w:w="2268" w:type="dxa"/>
            <w:vAlign w:val="center"/>
          </w:tcPr>
          <w:p w14:paraId="1AB0D74C"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24</w:t>
            </w:r>
          </w:p>
        </w:tc>
        <w:tc>
          <w:tcPr>
            <w:tcW w:w="2835" w:type="dxa"/>
            <w:vAlign w:val="center"/>
          </w:tcPr>
          <w:p w14:paraId="0D402E6B"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1.21</w:t>
            </w:r>
          </w:p>
        </w:tc>
      </w:tr>
      <w:tr w:rsidR="00DD5535" w:rsidRPr="00DD5535" w14:paraId="1E44C492" w14:textId="77777777" w:rsidTr="003C609D">
        <w:trPr>
          <w:jc w:val="center"/>
        </w:trPr>
        <w:tc>
          <w:tcPr>
            <w:tcW w:w="1134" w:type="dxa"/>
            <w:vAlign w:val="center"/>
          </w:tcPr>
          <w:p w14:paraId="5325D981"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2023</w:t>
            </w:r>
          </w:p>
        </w:tc>
        <w:tc>
          <w:tcPr>
            <w:tcW w:w="2268" w:type="dxa"/>
            <w:vAlign w:val="center"/>
          </w:tcPr>
          <w:p w14:paraId="6E160C17"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46</w:t>
            </w:r>
          </w:p>
        </w:tc>
        <w:tc>
          <w:tcPr>
            <w:tcW w:w="2268" w:type="dxa"/>
            <w:vAlign w:val="center"/>
          </w:tcPr>
          <w:p w14:paraId="5EDAD394"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30</w:t>
            </w:r>
          </w:p>
        </w:tc>
        <w:tc>
          <w:tcPr>
            <w:tcW w:w="2835" w:type="dxa"/>
            <w:vAlign w:val="center"/>
          </w:tcPr>
          <w:p w14:paraId="0BF3AD1C"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1.53</w:t>
            </w:r>
          </w:p>
        </w:tc>
      </w:tr>
      <w:tr w:rsidR="00DD5535" w:rsidRPr="00DD5535" w14:paraId="7165024A" w14:textId="77777777" w:rsidTr="003C609D">
        <w:trPr>
          <w:jc w:val="center"/>
        </w:trPr>
        <w:tc>
          <w:tcPr>
            <w:tcW w:w="1134" w:type="dxa"/>
            <w:vAlign w:val="center"/>
          </w:tcPr>
          <w:p w14:paraId="4F35CDC2"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2024</w:t>
            </w:r>
          </w:p>
        </w:tc>
        <w:tc>
          <w:tcPr>
            <w:tcW w:w="2268" w:type="dxa"/>
            <w:vAlign w:val="center"/>
          </w:tcPr>
          <w:p w14:paraId="5E237892"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55</w:t>
            </w:r>
          </w:p>
        </w:tc>
        <w:tc>
          <w:tcPr>
            <w:tcW w:w="2268" w:type="dxa"/>
            <w:vAlign w:val="center"/>
          </w:tcPr>
          <w:p w14:paraId="11D564DD"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36</w:t>
            </w:r>
          </w:p>
        </w:tc>
        <w:tc>
          <w:tcPr>
            <w:tcW w:w="2835" w:type="dxa"/>
            <w:vAlign w:val="center"/>
          </w:tcPr>
          <w:p w14:paraId="428B345F"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1.53</w:t>
            </w:r>
          </w:p>
        </w:tc>
      </w:tr>
      <w:tr w:rsidR="00DD5535" w:rsidRPr="00DD5535" w14:paraId="7D358667" w14:textId="77777777" w:rsidTr="003C609D">
        <w:trPr>
          <w:jc w:val="center"/>
        </w:trPr>
        <w:tc>
          <w:tcPr>
            <w:tcW w:w="1134" w:type="dxa"/>
            <w:vAlign w:val="center"/>
          </w:tcPr>
          <w:p w14:paraId="4B15D2A9"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2025</w:t>
            </w:r>
          </w:p>
        </w:tc>
        <w:tc>
          <w:tcPr>
            <w:tcW w:w="2268" w:type="dxa"/>
            <w:vAlign w:val="center"/>
          </w:tcPr>
          <w:p w14:paraId="1F3F67F3"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60</w:t>
            </w:r>
          </w:p>
        </w:tc>
        <w:tc>
          <w:tcPr>
            <w:tcW w:w="2268" w:type="dxa"/>
            <w:vAlign w:val="center"/>
          </w:tcPr>
          <w:p w14:paraId="5E83A4DA"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43</w:t>
            </w:r>
          </w:p>
        </w:tc>
        <w:tc>
          <w:tcPr>
            <w:tcW w:w="2835" w:type="dxa"/>
            <w:vAlign w:val="center"/>
          </w:tcPr>
          <w:p w14:paraId="7B581549"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1.40</w:t>
            </w:r>
          </w:p>
        </w:tc>
      </w:tr>
    </w:tbl>
    <w:p w14:paraId="09722B69" w14:textId="776F533D" w:rsidR="00DD5535" w:rsidRDefault="00DD5535" w:rsidP="009C7275">
      <w:pPr>
        <w:spacing w:after="0"/>
        <w:ind w:left="720"/>
        <w:contextualSpacing/>
        <w:jc w:val="both"/>
        <w:rPr>
          <w:rFonts w:cs="Times New Roman"/>
          <w:i/>
          <w:szCs w:val="24"/>
        </w:rPr>
      </w:pPr>
      <w:r w:rsidRPr="00DD5535">
        <w:rPr>
          <w:rFonts w:cs="Times New Roman"/>
          <w:i/>
          <w:szCs w:val="24"/>
        </w:rPr>
        <w:t>Source: Compiled by the author from the supplied ASPI/</w:t>
      </w:r>
      <w:proofErr w:type="spellStart"/>
      <w:r w:rsidRPr="00DD5535">
        <w:rPr>
          <w:rFonts w:cs="Times New Roman"/>
          <w:i/>
          <w:szCs w:val="24"/>
        </w:rPr>
        <w:t>Databoks</w:t>
      </w:r>
      <w:proofErr w:type="spellEnd"/>
      <w:r w:rsidRPr="00DD5535">
        <w:rPr>
          <w:rFonts w:cs="Times New Roman"/>
          <w:i/>
          <w:szCs w:val="24"/>
        </w:rPr>
        <w:t xml:space="preserve"> user and merchant datasets.</w:t>
      </w:r>
    </w:p>
    <w:p w14:paraId="7BF816B6" w14:textId="1B4A02F0" w:rsidR="00DD5535" w:rsidRDefault="00DD5535" w:rsidP="00717FED">
      <w:pPr>
        <w:spacing w:after="0"/>
        <w:ind w:left="360"/>
        <w:contextualSpacing/>
        <w:jc w:val="both"/>
        <w:rPr>
          <w:rFonts w:cs="Times New Roman"/>
          <w:szCs w:val="24"/>
        </w:rPr>
      </w:pPr>
      <w:r w:rsidRPr="00DD5535">
        <w:rPr>
          <w:rFonts w:cs="Times New Roman"/>
          <w:szCs w:val="24"/>
        </w:rPr>
        <w:t>The consumer-to-merchant ratio remained close to one, increasing from 1.21 in 2022 to 1.40 in 2025. This measure should not be interpreted as the number of customers served by each merchant because users transact with multiple merchants and registered merchants differ greatly in activity. It is nevertheless useful as a network-balance indicator. The expansion of both sides reduces the risk of a payment infrastructure with many registered outlets but insufficient consumer demand.</w:t>
      </w:r>
    </w:p>
    <w:p w14:paraId="778C2D77" w14:textId="77777777" w:rsidR="00DD5535" w:rsidRPr="00DD5535" w:rsidRDefault="00DD5535" w:rsidP="00717FED">
      <w:pPr>
        <w:pStyle w:val="Heading2"/>
        <w:spacing w:before="0" w:after="0"/>
      </w:pPr>
      <w:r w:rsidRPr="00DD5535">
        <w:t>4.6 Transaction Intensity and Active Usage</w:t>
      </w:r>
    </w:p>
    <w:p w14:paraId="57B9170E" w14:textId="77777777" w:rsidR="00DD5535" w:rsidRPr="00DD5535" w:rsidRDefault="00DD5535" w:rsidP="00717FED">
      <w:pPr>
        <w:spacing w:after="0"/>
        <w:contextualSpacing/>
        <w:jc w:val="both"/>
        <w:rPr>
          <w:rFonts w:cs="Times New Roman"/>
          <w:szCs w:val="24"/>
        </w:rPr>
      </w:pPr>
      <w:r w:rsidRPr="00DD5535">
        <w:rPr>
          <w:rFonts w:cs="Times New Roman"/>
          <w:szCs w:val="24"/>
        </w:rPr>
        <w:t>Transaction data provide a stronger bridge between access and economic use than merchant registration alone. In Q2 2025, QRIS processed 1.19 billion transactions with a nominal value of Rp110 trillion. These figures represented year-on-year increases of 141 percent in volume and 111 percent in value. The implied Q2 2024 baselines are approximately 0.49 billion transactions and Rp52.13 trillion, respectively.</w:t>
      </w:r>
    </w:p>
    <w:p w14:paraId="72B6526B" w14:textId="7CAB2CE4" w:rsidR="00DD5535" w:rsidRDefault="00DD5535" w:rsidP="00DD5535">
      <w:pPr>
        <w:spacing w:after="0"/>
        <w:contextualSpacing/>
        <w:jc w:val="both"/>
        <w:rPr>
          <w:rFonts w:cs="Times New Roman"/>
          <w:szCs w:val="24"/>
        </w:rPr>
      </w:pPr>
      <w:r w:rsidRPr="00DD5535">
        <w:rPr>
          <w:rFonts w:cs="Times New Roman"/>
          <w:szCs w:val="24"/>
        </w:rPr>
        <w:t>The faster growth of transaction volume than transaction value suggests that average transaction size declined as QRIS penetrated smaller and more frequent retail payments. This interpretation is consistent with the system becoming embedded in routine consumption and micro-merchant transactions. It is still an inference from aggregate data, not proof that individual MSMEs experienced higher revenue, productivity, or profitability.</w:t>
      </w:r>
    </w:p>
    <w:p w14:paraId="5784C702" w14:textId="203CF200" w:rsidR="00DD5535" w:rsidRPr="00DD5535" w:rsidRDefault="00DD5535" w:rsidP="00DD5535">
      <w:pPr>
        <w:spacing w:after="0"/>
        <w:contextualSpacing/>
        <w:jc w:val="both"/>
        <w:rPr>
          <w:rFonts w:cs="Times New Roman"/>
          <w:szCs w:val="24"/>
        </w:rPr>
      </w:pPr>
      <w:r w:rsidRPr="00DD5535">
        <w:rPr>
          <w:rFonts w:cs="Times New Roman"/>
          <w:b/>
          <w:szCs w:val="24"/>
        </w:rPr>
        <w:t xml:space="preserve">Table </w:t>
      </w:r>
      <w:r w:rsidR="00CA1648">
        <w:rPr>
          <w:rFonts w:cs="Times New Roman"/>
          <w:b/>
          <w:szCs w:val="24"/>
        </w:rPr>
        <w:t>8</w:t>
      </w:r>
      <w:r w:rsidRPr="00DD5535">
        <w:rPr>
          <w:rFonts w:cs="Times New Roman"/>
          <w:b/>
          <w:szCs w:val="24"/>
        </w:rPr>
        <w:t>. QRIS active-usage indicators, Q2 2025</w:t>
      </w:r>
    </w:p>
    <w:tbl>
      <w:tblPr>
        <w:tblStyle w:val="TableGrid"/>
        <w:tblW w:w="0" w:type="auto"/>
        <w:jc w:val="center"/>
        <w:tblLook w:val="04A0" w:firstRow="1" w:lastRow="0" w:firstColumn="1" w:lastColumn="0" w:noHBand="0" w:noVBand="1"/>
      </w:tblPr>
      <w:tblGrid>
        <w:gridCol w:w="1683"/>
        <w:gridCol w:w="1836"/>
        <w:gridCol w:w="1594"/>
        <w:gridCol w:w="1197"/>
        <w:gridCol w:w="2184"/>
      </w:tblGrid>
      <w:tr w:rsidR="00DD5535" w:rsidRPr="00DD5535" w14:paraId="18E9C20D" w14:textId="77777777" w:rsidTr="003C609D">
        <w:trPr>
          <w:jc w:val="center"/>
        </w:trPr>
        <w:tc>
          <w:tcPr>
            <w:tcW w:w="1984" w:type="dxa"/>
            <w:shd w:val="clear" w:color="auto" w:fill="D9EAF7"/>
          </w:tcPr>
          <w:p w14:paraId="1BD3868C" w14:textId="77777777" w:rsidR="00DD5535" w:rsidRPr="00DD5535" w:rsidRDefault="00DD5535" w:rsidP="00C11106">
            <w:pPr>
              <w:spacing w:after="0" w:line="240" w:lineRule="auto"/>
              <w:contextualSpacing/>
              <w:jc w:val="both"/>
              <w:rPr>
                <w:rFonts w:cs="Times New Roman"/>
                <w:szCs w:val="24"/>
              </w:rPr>
            </w:pPr>
            <w:r w:rsidRPr="00DD5535">
              <w:rPr>
                <w:rFonts w:cs="Times New Roman"/>
                <w:b/>
                <w:szCs w:val="24"/>
              </w:rPr>
              <w:t>Indicator</w:t>
            </w:r>
          </w:p>
        </w:tc>
        <w:tc>
          <w:tcPr>
            <w:tcW w:w="1984" w:type="dxa"/>
            <w:shd w:val="clear" w:color="auto" w:fill="D9EAF7"/>
          </w:tcPr>
          <w:p w14:paraId="1CDD7524" w14:textId="77777777" w:rsidR="00DD5535" w:rsidRPr="00DD5535" w:rsidRDefault="00DD5535" w:rsidP="00C11106">
            <w:pPr>
              <w:spacing w:after="0" w:line="240" w:lineRule="auto"/>
              <w:contextualSpacing/>
              <w:jc w:val="both"/>
              <w:rPr>
                <w:rFonts w:cs="Times New Roman"/>
                <w:szCs w:val="24"/>
              </w:rPr>
            </w:pPr>
            <w:r w:rsidRPr="00DD5535">
              <w:rPr>
                <w:rFonts w:cs="Times New Roman"/>
                <w:b/>
                <w:szCs w:val="24"/>
              </w:rPr>
              <w:t>Q2 2024 implied level</w:t>
            </w:r>
          </w:p>
        </w:tc>
        <w:tc>
          <w:tcPr>
            <w:tcW w:w="1984" w:type="dxa"/>
            <w:shd w:val="clear" w:color="auto" w:fill="D9EAF7"/>
          </w:tcPr>
          <w:p w14:paraId="76E3961B" w14:textId="77777777" w:rsidR="00DD5535" w:rsidRPr="00DD5535" w:rsidRDefault="00DD5535" w:rsidP="00C11106">
            <w:pPr>
              <w:spacing w:after="0" w:line="240" w:lineRule="auto"/>
              <w:contextualSpacing/>
              <w:jc w:val="both"/>
              <w:rPr>
                <w:rFonts w:cs="Times New Roman"/>
                <w:szCs w:val="24"/>
              </w:rPr>
            </w:pPr>
            <w:r w:rsidRPr="00DD5535">
              <w:rPr>
                <w:rFonts w:cs="Times New Roman"/>
                <w:b/>
                <w:szCs w:val="24"/>
              </w:rPr>
              <w:t>Q2 2025 level</w:t>
            </w:r>
          </w:p>
        </w:tc>
        <w:tc>
          <w:tcPr>
            <w:tcW w:w="1417" w:type="dxa"/>
            <w:shd w:val="clear" w:color="auto" w:fill="D9EAF7"/>
          </w:tcPr>
          <w:p w14:paraId="14027436" w14:textId="77777777" w:rsidR="00DD5535" w:rsidRPr="00DD5535" w:rsidRDefault="00DD5535" w:rsidP="00C11106">
            <w:pPr>
              <w:spacing w:after="0" w:line="240" w:lineRule="auto"/>
              <w:contextualSpacing/>
              <w:jc w:val="both"/>
              <w:rPr>
                <w:rFonts w:cs="Times New Roman"/>
                <w:szCs w:val="24"/>
              </w:rPr>
            </w:pPr>
            <w:r w:rsidRPr="00DD5535">
              <w:rPr>
                <w:rFonts w:cs="Times New Roman"/>
                <w:b/>
                <w:szCs w:val="24"/>
              </w:rPr>
              <w:t>Year-on-year growth</w:t>
            </w:r>
          </w:p>
        </w:tc>
        <w:tc>
          <w:tcPr>
            <w:tcW w:w="2835" w:type="dxa"/>
            <w:shd w:val="clear" w:color="auto" w:fill="D9EAF7"/>
          </w:tcPr>
          <w:p w14:paraId="3D30EC65" w14:textId="77777777" w:rsidR="00DD5535" w:rsidRPr="00DD5535" w:rsidRDefault="00DD5535" w:rsidP="00C11106">
            <w:pPr>
              <w:spacing w:after="0" w:line="240" w:lineRule="auto"/>
              <w:contextualSpacing/>
              <w:jc w:val="both"/>
              <w:rPr>
                <w:rFonts w:cs="Times New Roman"/>
                <w:szCs w:val="24"/>
              </w:rPr>
            </w:pPr>
            <w:r w:rsidRPr="00DD5535">
              <w:rPr>
                <w:rFonts w:cs="Times New Roman"/>
                <w:b/>
                <w:szCs w:val="24"/>
              </w:rPr>
              <w:t>Interpretive role</w:t>
            </w:r>
          </w:p>
        </w:tc>
      </w:tr>
      <w:tr w:rsidR="00DD5535" w:rsidRPr="00DD5535" w14:paraId="3CCE4B09" w14:textId="77777777" w:rsidTr="003C609D">
        <w:trPr>
          <w:jc w:val="center"/>
        </w:trPr>
        <w:tc>
          <w:tcPr>
            <w:tcW w:w="1984" w:type="dxa"/>
            <w:vAlign w:val="center"/>
          </w:tcPr>
          <w:p w14:paraId="5AC61AA7"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Transaction volume</w:t>
            </w:r>
          </w:p>
        </w:tc>
        <w:tc>
          <w:tcPr>
            <w:tcW w:w="1984" w:type="dxa"/>
            <w:vAlign w:val="center"/>
          </w:tcPr>
          <w:p w14:paraId="7CF95FC4"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0.494 billion</w:t>
            </w:r>
          </w:p>
        </w:tc>
        <w:tc>
          <w:tcPr>
            <w:tcW w:w="1984" w:type="dxa"/>
            <w:vAlign w:val="center"/>
          </w:tcPr>
          <w:p w14:paraId="05DBE003"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1.190 billion</w:t>
            </w:r>
          </w:p>
        </w:tc>
        <w:tc>
          <w:tcPr>
            <w:tcW w:w="1417" w:type="dxa"/>
            <w:vAlign w:val="center"/>
          </w:tcPr>
          <w:p w14:paraId="5F2D85AA"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141%</w:t>
            </w:r>
          </w:p>
        </w:tc>
        <w:tc>
          <w:tcPr>
            <w:tcW w:w="2835" w:type="dxa"/>
            <w:vAlign w:val="center"/>
          </w:tcPr>
          <w:p w14:paraId="706DBBE6"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Frequency and intensity of digital-payment use</w:t>
            </w:r>
          </w:p>
        </w:tc>
      </w:tr>
      <w:tr w:rsidR="00DD5535" w:rsidRPr="00DD5535" w14:paraId="2EAB3AF3" w14:textId="77777777" w:rsidTr="003C609D">
        <w:trPr>
          <w:jc w:val="center"/>
        </w:trPr>
        <w:tc>
          <w:tcPr>
            <w:tcW w:w="1984" w:type="dxa"/>
            <w:vAlign w:val="center"/>
          </w:tcPr>
          <w:p w14:paraId="51216213"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lastRenderedPageBreak/>
              <w:t>Transaction value</w:t>
            </w:r>
          </w:p>
        </w:tc>
        <w:tc>
          <w:tcPr>
            <w:tcW w:w="1984" w:type="dxa"/>
            <w:vAlign w:val="center"/>
          </w:tcPr>
          <w:p w14:paraId="08BC4986"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Rp52.13 trillion</w:t>
            </w:r>
          </w:p>
        </w:tc>
        <w:tc>
          <w:tcPr>
            <w:tcW w:w="1984" w:type="dxa"/>
            <w:vAlign w:val="center"/>
          </w:tcPr>
          <w:p w14:paraId="3A5D4C42"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Rp110.00 trillion</w:t>
            </w:r>
          </w:p>
        </w:tc>
        <w:tc>
          <w:tcPr>
            <w:tcW w:w="1417" w:type="dxa"/>
            <w:vAlign w:val="center"/>
          </w:tcPr>
          <w:p w14:paraId="28434AC2"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111%</w:t>
            </w:r>
          </w:p>
        </w:tc>
        <w:tc>
          <w:tcPr>
            <w:tcW w:w="2835" w:type="dxa"/>
            <w:vAlign w:val="center"/>
          </w:tcPr>
          <w:p w14:paraId="3897B298"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Economic value routed through QRIS</w:t>
            </w:r>
          </w:p>
        </w:tc>
      </w:tr>
      <w:tr w:rsidR="00DD5535" w:rsidRPr="00DD5535" w14:paraId="027FCBE9" w14:textId="77777777" w:rsidTr="003C609D">
        <w:trPr>
          <w:jc w:val="center"/>
        </w:trPr>
        <w:tc>
          <w:tcPr>
            <w:tcW w:w="1984" w:type="dxa"/>
            <w:vAlign w:val="center"/>
          </w:tcPr>
          <w:p w14:paraId="7A014BEC"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Consumer users</w:t>
            </w:r>
          </w:p>
        </w:tc>
        <w:tc>
          <w:tcPr>
            <w:tcW w:w="1984" w:type="dxa"/>
            <w:vAlign w:val="center"/>
          </w:tcPr>
          <w:p w14:paraId="1ECAA029"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Approximately 50.9 million</w:t>
            </w:r>
          </w:p>
        </w:tc>
        <w:tc>
          <w:tcPr>
            <w:tcW w:w="1984" w:type="dxa"/>
            <w:vAlign w:val="center"/>
          </w:tcPr>
          <w:p w14:paraId="5E6F0F72"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57 million</w:t>
            </w:r>
          </w:p>
        </w:tc>
        <w:tc>
          <w:tcPr>
            <w:tcW w:w="1417" w:type="dxa"/>
            <w:vAlign w:val="center"/>
          </w:tcPr>
          <w:p w14:paraId="65B07E59"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12%</w:t>
            </w:r>
          </w:p>
        </w:tc>
        <w:tc>
          <w:tcPr>
            <w:tcW w:w="2835" w:type="dxa"/>
            <w:vAlign w:val="center"/>
          </w:tcPr>
          <w:p w14:paraId="3EEC18CA"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Demand-side network reach</w:t>
            </w:r>
          </w:p>
        </w:tc>
      </w:tr>
      <w:tr w:rsidR="00DD5535" w:rsidRPr="00DD5535" w14:paraId="645D83F0" w14:textId="77777777" w:rsidTr="003C609D">
        <w:trPr>
          <w:jc w:val="center"/>
        </w:trPr>
        <w:tc>
          <w:tcPr>
            <w:tcW w:w="1984" w:type="dxa"/>
            <w:vAlign w:val="center"/>
          </w:tcPr>
          <w:p w14:paraId="7BBE6AE7"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Registered merchants</w:t>
            </w:r>
          </w:p>
        </w:tc>
        <w:tc>
          <w:tcPr>
            <w:tcW w:w="1984" w:type="dxa"/>
            <w:vAlign w:val="center"/>
          </w:tcPr>
          <w:p w14:paraId="53182824"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33 million</w:t>
            </w:r>
          </w:p>
        </w:tc>
        <w:tc>
          <w:tcPr>
            <w:tcW w:w="1984" w:type="dxa"/>
            <w:vAlign w:val="center"/>
          </w:tcPr>
          <w:p w14:paraId="60C8C02C"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39 million</w:t>
            </w:r>
          </w:p>
        </w:tc>
        <w:tc>
          <w:tcPr>
            <w:tcW w:w="1417" w:type="dxa"/>
            <w:vAlign w:val="center"/>
          </w:tcPr>
          <w:p w14:paraId="108142AF"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18%</w:t>
            </w:r>
          </w:p>
        </w:tc>
        <w:tc>
          <w:tcPr>
            <w:tcW w:w="2835" w:type="dxa"/>
            <w:vAlign w:val="center"/>
          </w:tcPr>
          <w:p w14:paraId="49E8003A" w14:textId="77777777" w:rsidR="00DD5535" w:rsidRPr="00DD5535" w:rsidRDefault="00DD5535" w:rsidP="00C11106">
            <w:pPr>
              <w:spacing w:after="0" w:line="240" w:lineRule="auto"/>
              <w:contextualSpacing/>
              <w:jc w:val="both"/>
              <w:rPr>
                <w:rFonts w:cs="Times New Roman"/>
                <w:szCs w:val="24"/>
              </w:rPr>
            </w:pPr>
            <w:r w:rsidRPr="00DD5535">
              <w:rPr>
                <w:rFonts w:cs="Times New Roman"/>
                <w:szCs w:val="24"/>
              </w:rPr>
              <w:t>Acceptance-side network reach</w:t>
            </w:r>
          </w:p>
        </w:tc>
      </w:tr>
    </w:tbl>
    <w:p w14:paraId="729B8A57" w14:textId="132BFBCB" w:rsidR="00DD5535" w:rsidRDefault="00DD5535" w:rsidP="00DD5535">
      <w:pPr>
        <w:spacing w:after="0"/>
        <w:contextualSpacing/>
        <w:jc w:val="both"/>
        <w:rPr>
          <w:rFonts w:cs="Times New Roman"/>
          <w:i/>
          <w:szCs w:val="24"/>
        </w:rPr>
      </w:pPr>
      <w:r w:rsidRPr="00DD5535">
        <w:rPr>
          <w:rFonts w:cs="Times New Roman"/>
          <w:i/>
          <w:szCs w:val="24"/>
        </w:rPr>
        <w:t>Source: Author calculations from the supplied ASPI/</w:t>
      </w:r>
      <w:proofErr w:type="spellStart"/>
      <w:r w:rsidRPr="00DD5535">
        <w:rPr>
          <w:rFonts w:cs="Times New Roman"/>
          <w:i/>
          <w:szCs w:val="24"/>
        </w:rPr>
        <w:t>Databoks</w:t>
      </w:r>
      <w:proofErr w:type="spellEnd"/>
      <w:r w:rsidRPr="00DD5535">
        <w:rPr>
          <w:rFonts w:cs="Times New Roman"/>
          <w:i/>
          <w:szCs w:val="24"/>
        </w:rPr>
        <w:t xml:space="preserve"> files. Q2 2024 transaction levels are implied by reversing the reported year-on-year growth rates.</w:t>
      </w:r>
    </w:p>
    <w:p w14:paraId="54172AFC" w14:textId="77777777" w:rsidR="00DD5535" w:rsidRPr="00DD5535" w:rsidRDefault="00DD5535" w:rsidP="00C11106">
      <w:pPr>
        <w:spacing w:after="0"/>
        <w:contextualSpacing/>
        <w:jc w:val="center"/>
        <w:rPr>
          <w:rFonts w:cs="Times New Roman"/>
          <w:szCs w:val="24"/>
        </w:rPr>
      </w:pPr>
      <w:r w:rsidRPr="00DD5535">
        <w:rPr>
          <w:rFonts w:cs="Times New Roman"/>
          <w:noProof/>
          <w:szCs w:val="24"/>
        </w:rPr>
        <w:drawing>
          <wp:inline distT="0" distB="0" distL="0" distR="0" wp14:anchorId="2D7DC342" wp14:editId="7CD5426F">
            <wp:extent cx="3136900" cy="1971765"/>
            <wp:effectExtent l="0" t="0" r="635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4.png"/>
                    <pic:cNvPicPr/>
                  </pic:nvPicPr>
                  <pic:blipFill>
                    <a:blip r:embed="rId12"/>
                    <a:stretch>
                      <a:fillRect/>
                    </a:stretch>
                  </pic:blipFill>
                  <pic:spPr>
                    <a:xfrm>
                      <a:off x="0" y="0"/>
                      <a:ext cx="3142718" cy="1975422"/>
                    </a:xfrm>
                    <a:prstGeom prst="rect">
                      <a:avLst/>
                    </a:prstGeom>
                  </pic:spPr>
                </pic:pic>
              </a:graphicData>
            </a:graphic>
          </wp:inline>
        </w:drawing>
      </w:r>
    </w:p>
    <w:p w14:paraId="17D8D74C" w14:textId="77777777" w:rsidR="00DD5535" w:rsidRPr="00DD5535" w:rsidRDefault="00DD5535" w:rsidP="00717FED">
      <w:pPr>
        <w:spacing w:after="0"/>
        <w:ind w:firstLine="720"/>
        <w:contextualSpacing/>
        <w:jc w:val="both"/>
        <w:rPr>
          <w:rFonts w:cs="Times New Roman"/>
          <w:szCs w:val="24"/>
        </w:rPr>
      </w:pPr>
      <w:r w:rsidRPr="00DD5535">
        <w:rPr>
          <w:rFonts w:cs="Times New Roman"/>
          <w:b/>
          <w:szCs w:val="24"/>
        </w:rPr>
        <w:t>Figure 4. QRIS transaction expansion, Q2 2024-Q2 2025</w:t>
      </w:r>
    </w:p>
    <w:p w14:paraId="74C8389A" w14:textId="2E5E2DC8" w:rsidR="00DD5535" w:rsidRDefault="00DD5535" w:rsidP="00717FED">
      <w:pPr>
        <w:spacing w:after="0"/>
        <w:ind w:left="720"/>
        <w:contextualSpacing/>
        <w:jc w:val="both"/>
        <w:rPr>
          <w:rFonts w:cs="Times New Roman"/>
          <w:i/>
          <w:szCs w:val="24"/>
        </w:rPr>
      </w:pPr>
      <w:r w:rsidRPr="00DD5535">
        <w:rPr>
          <w:rFonts w:cs="Times New Roman"/>
          <w:i/>
          <w:szCs w:val="24"/>
        </w:rPr>
        <w:t>Source: Author calculations from reported Q2 2025 levels and year-on-year growth rates. Transaction value is scaled in Rp100 trillion units for visual comparability.</w:t>
      </w:r>
    </w:p>
    <w:p w14:paraId="6E0F1BAF" w14:textId="77777777" w:rsidR="00717FED" w:rsidRPr="00DD5535" w:rsidRDefault="00717FED" w:rsidP="00717FED">
      <w:pPr>
        <w:spacing w:after="0"/>
        <w:ind w:left="720"/>
        <w:contextualSpacing/>
        <w:jc w:val="both"/>
        <w:rPr>
          <w:rFonts w:cs="Times New Roman"/>
          <w:szCs w:val="24"/>
        </w:rPr>
      </w:pPr>
    </w:p>
    <w:p w14:paraId="40305C6A" w14:textId="410A6716" w:rsidR="00DD5535" w:rsidRDefault="00DD5535" w:rsidP="00717FED">
      <w:pPr>
        <w:spacing w:after="0"/>
        <w:ind w:left="360"/>
        <w:contextualSpacing/>
        <w:jc w:val="both"/>
        <w:rPr>
          <w:rFonts w:cs="Times New Roman"/>
          <w:szCs w:val="24"/>
        </w:rPr>
      </w:pPr>
      <w:r w:rsidRPr="00DD5535">
        <w:rPr>
          <w:rFonts w:cs="Times New Roman"/>
          <w:szCs w:val="24"/>
        </w:rPr>
        <w:t>The transaction evidence materially strengthens the article because it shows that the QRIS ecosystem expanded beyond registration. Yet it also sharpens the article’s central caution. Aggregate transaction growth cannot reveal whether benefits are widely distributed, whether merchants are active or dormant, or whether digital sales substitute for cash sales rather than creating additional turnover. A convincing scalability claim requires merchant-level evidence on sales, costs, working capital, employment, and financing outcomes.</w:t>
      </w:r>
    </w:p>
    <w:p w14:paraId="1A561AB6" w14:textId="77777777" w:rsidR="00DD5535" w:rsidRPr="00DD5535" w:rsidRDefault="00DD5535" w:rsidP="00717FED">
      <w:pPr>
        <w:pStyle w:val="Heading2"/>
        <w:spacing w:before="0" w:after="0"/>
      </w:pPr>
      <w:r w:rsidRPr="00DD5535">
        <w:t>4.7 Provincial Merchant-Ecosystem Typology</w:t>
      </w:r>
    </w:p>
    <w:p w14:paraId="744B878A" w14:textId="05F4C824" w:rsidR="00DD5535" w:rsidRDefault="00DD5535" w:rsidP="00717FED">
      <w:pPr>
        <w:spacing w:after="0"/>
        <w:ind w:left="360"/>
        <w:contextualSpacing/>
        <w:jc w:val="both"/>
        <w:rPr>
          <w:rFonts w:cs="Times New Roman"/>
          <w:szCs w:val="24"/>
        </w:rPr>
      </w:pPr>
      <w:r w:rsidRPr="00DD5535">
        <w:rPr>
          <w:rFonts w:cs="Times New Roman"/>
          <w:szCs w:val="24"/>
        </w:rPr>
        <w:t xml:space="preserve">To translate the provincial distribution into an operational policy tool, provinces are grouped into four tiers using the 25th, 50th, and 75th percentiles of merchant counts. The thresholds are 0.141, 0.358, and 0.911 million merchants. This quartile-based classification avoids an arbitrary national cut-off and recognizes the highly skewed </w:t>
      </w:r>
      <w:r w:rsidRPr="00DD5535">
        <w:rPr>
          <w:rFonts w:cs="Times New Roman"/>
          <w:szCs w:val="24"/>
        </w:rPr>
        <w:lastRenderedPageBreak/>
        <w:t>distribution. It is a diagnostic segmentation, not a ranking of government performance or MSME quality.</w:t>
      </w:r>
    </w:p>
    <w:p w14:paraId="109BA7A8" w14:textId="2F02D549" w:rsidR="00DD5535" w:rsidRPr="00DD5535" w:rsidRDefault="00DD5535" w:rsidP="00DD5535">
      <w:pPr>
        <w:spacing w:after="0"/>
        <w:contextualSpacing/>
        <w:jc w:val="both"/>
        <w:rPr>
          <w:rFonts w:cs="Times New Roman"/>
          <w:szCs w:val="24"/>
        </w:rPr>
      </w:pPr>
      <w:r w:rsidRPr="00DD5535">
        <w:rPr>
          <w:rFonts w:cs="Times New Roman"/>
          <w:b/>
          <w:szCs w:val="24"/>
        </w:rPr>
        <w:t xml:space="preserve">Table </w:t>
      </w:r>
      <w:r w:rsidR="00CA1648">
        <w:rPr>
          <w:rFonts w:cs="Times New Roman"/>
          <w:b/>
          <w:szCs w:val="24"/>
        </w:rPr>
        <w:t>9</w:t>
      </w:r>
      <w:r w:rsidRPr="00DD5535">
        <w:rPr>
          <w:rFonts w:cs="Times New Roman"/>
          <w:b/>
          <w:szCs w:val="24"/>
        </w:rPr>
        <w:t>. Provincial QRIS merchant-ecosystem typology, Q2 2025</w:t>
      </w:r>
    </w:p>
    <w:tbl>
      <w:tblPr>
        <w:tblStyle w:val="TableGrid"/>
        <w:tblW w:w="0" w:type="auto"/>
        <w:jc w:val="center"/>
        <w:tblLook w:val="04A0" w:firstRow="1" w:lastRow="0" w:firstColumn="1" w:lastColumn="0" w:noHBand="0" w:noVBand="1"/>
      </w:tblPr>
      <w:tblGrid>
        <w:gridCol w:w="1688"/>
        <w:gridCol w:w="1302"/>
        <w:gridCol w:w="2851"/>
        <w:gridCol w:w="2653"/>
      </w:tblGrid>
      <w:tr w:rsidR="00DD5535" w:rsidRPr="00DD5535" w14:paraId="3070DB12" w14:textId="77777777" w:rsidTr="003C609D">
        <w:trPr>
          <w:jc w:val="center"/>
        </w:trPr>
        <w:tc>
          <w:tcPr>
            <w:tcW w:w="1984" w:type="dxa"/>
            <w:shd w:val="clear" w:color="auto" w:fill="D9EAF7"/>
          </w:tcPr>
          <w:p w14:paraId="3E7B8883" w14:textId="77777777" w:rsidR="00DD5535" w:rsidRPr="00DD5535" w:rsidRDefault="00DD5535" w:rsidP="002E0667">
            <w:pPr>
              <w:spacing w:after="0" w:line="240" w:lineRule="auto"/>
              <w:contextualSpacing/>
              <w:jc w:val="both"/>
              <w:rPr>
                <w:rFonts w:cs="Times New Roman"/>
                <w:szCs w:val="24"/>
              </w:rPr>
            </w:pPr>
            <w:r w:rsidRPr="00DD5535">
              <w:rPr>
                <w:rFonts w:cs="Times New Roman"/>
                <w:b/>
                <w:szCs w:val="24"/>
              </w:rPr>
              <w:t>Tier</w:t>
            </w:r>
          </w:p>
        </w:tc>
        <w:tc>
          <w:tcPr>
            <w:tcW w:w="1417" w:type="dxa"/>
            <w:shd w:val="clear" w:color="auto" w:fill="D9EAF7"/>
          </w:tcPr>
          <w:p w14:paraId="2430D113" w14:textId="77777777" w:rsidR="00DD5535" w:rsidRPr="00DD5535" w:rsidRDefault="00DD5535" w:rsidP="002E0667">
            <w:pPr>
              <w:spacing w:after="0" w:line="240" w:lineRule="auto"/>
              <w:contextualSpacing/>
              <w:jc w:val="both"/>
              <w:rPr>
                <w:rFonts w:cs="Times New Roman"/>
                <w:szCs w:val="24"/>
              </w:rPr>
            </w:pPr>
            <w:r w:rsidRPr="00DD5535">
              <w:rPr>
                <w:rFonts w:cs="Times New Roman"/>
                <w:b/>
                <w:szCs w:val="24"/>
              </w:rPr>
              <w:t>Number of provinces</w:t>
            </w:r>
          </w:p>
        </w:tc>
        <w:tc>
          <w:tcPr>
            <w:tcW w:w="4535" w:type="dxa"/>
            <w:shd w:val="clear" w:color="auto" w:fill="D9EAF7"/>
          </w:tcPr>
          <w:p w14:paraId="7FD18450" w14:textId="77777777" w:rsidR="00DD5535" w:rsidRPr="00DD5535" w:rsidRDefault="00DD5535" w:rsidP="002E0667">
            <w:pPr>
              <w:spacing w:after="0" w:line="240" w:lineRule="auto"/>
              <w:contextualSpacing/>
              <w:jc w:val="both"/>
              <w:rPr>
                <w:rFonts w:cs="Times New Roman"/>
                <w:szCs w:val="24"/>
              </w:rPr>
            </w:pPr>
            <w:r w:rsidRPr="00DD5535">
              <w:rPr>
                <w:rFonts w:cs="Times New Roman"/>
                <w:b/>
                <w:szCs w:val="24"/>
              </w:rPr>
              <w:t>Provinces</w:t>
            </w:r>
          </w:p>
        </w:tc>
        <w:tc>
          <w:tcPr>
            <w:tcW w:w="3969" w:type="dxa"/>
            <w:shd w:val="clear" w:color="auto" w:fill="D9EAF7"/>
          </w:tcPr>
          <w:p w14:paraId="23CDFD08" w14:textId="77777777" w:rsidR="00DD5535" w:rsidRPr="00DD5535" w:rsidRDefault="00DD5535" w:rsidP="002E0667">
            <w:pPr>
              <w:spacing w:after="0" w:line="240" w:lineRule="auto"/>
              <w:contextualSpacing/>
              <w:jc w:val="both"/>
              <w:rPr>
                <w:rFonts w:cs="Times New Roman"/>
                <w:szCs w:val="24"/>
              </w:rPr>
            </w:pPr>
            <w:r w:rsidRPr="00DD5535">
              <w:rPr>
                <w:rFonts w:cs="Times New Roman"/>
                <w:b/>
                <w:szCs w:val="24"/>
              </w:rPr>
              <w:t>Priority</w:t>
            </w:r>
          </w:p>
        </w:tc>
      </w:tr>
      <w:tr w:rsidR="00DD5535" w:rsidRPr="00DD5535" w14:paraId="714DF9F8" w14:textId="77777777" w:rsidTr="003C609D">
        <w:trPr>
          <w:jc w:val="center"/>
        </w:trPr>
        <w:tc>
          <w:tcPr>
            <w:tcW w:w="1984" w:type="dxa"/>
            <w:vAlign w:val="center"/>
          </w:tcPr>
          <w:p w14:paraId="74912018" w14:textId="77777777" w:rsidR="00DD5535" w:rsidRPr="00DD5535" w:rsidRDefault="00DD5535" w:rsidP="002E0667">
            <w:pPr>
              <w:spacing w:after="0" w:line="240" w:lineRule="auto"/>
              <w:contextualSpacing/>
              <w:jc w:val="both"/>
              <w:rPr>
                <w:rFonts w:cs="Times New Roman"/>
                <w:szCs w:val="24"/>
              </w:rPr>
            </w:pPr>
            <w:r w:rsidRPr="00DD5535">
              <w:rPr>
                <w:rFonts w:cs="Times New Roman"/>
                <w:szCs w:val="24"/>
              </w:rPr>
              <w:t>Tier 1: large-scale ecosystems</w:t>
            </w:r>
          </w:p>
        </w:tc>
        <w:tc>
          <w:tcPr>
            <w:tcW w:w="1417" w:type="dxa"/>
            <w:vAlign w:val="center"/>
          </w:tcPr>
          <w:p w14:paraId="7E8941C2" w14:textId="77777777" w:rsidR="00DD5535" w:rsidRPr="00DD5535" w:rsidRDefault="00DD5535" w:rsidP="002E0667">
            <w:pPr>
              <w:spacing w:after="0" w:line="240" w:lineRule="auto"/>
              <w:contextualSpacing/>
              <w:jc w:val="both"/>
              <w:rPr>
                <w:rFonts w:cs="Times New Roman"/>
                <w:szCs w:val="24"/>
              </w:rPr>
            </w:pPr>
            <w:r w:rsidRPr="00DD5535">
              <w:rPr>
                <w:rFonts w:cs="Times New Roman"/>
                <w:szCs w:val="24"/>
              </w:rPr>
              <w:t>10</w:t>
            </w:r>
          </w:p>
        </w:tc>
        <w:tc>
          <w:tcPr>
            <w:tcW w:w="4535" w:type="dxa"/>
            <w:vAlign w:val="center"/>
          </w:tcPr>
          <w:p w14:paraId="72ACB838" w14:textId="77777777" w:rsidR="00DD5535" w:rsidRPr="00DD5535" w:rsidRDefault="00DD5535" w:rsidP="002E0667">
            <w:pPr>
              <w:spacing w:after="0" w:line="240" w:lineRule="auto"/>
              <w:contextualSpacing/>
              <w:jc w:val="both"/>
              <w:rPr>
                <w:rFonts w:cs="Times New Roman"/>
                <w:szCs w:val="24"/>
              </w:rPr>
            </w:pPr>
            <w:r w:rsidRPr="00DD5535">
              <w:rPr>
                <w:rFonts w:cs="Times New Roman"/>
                <w:szCs w:val="24"/>
              </w:rPr>
              <w:t>West Java, Jakarta, East Java, Central Java, Banten, North Sumatra, South Sulawesi, South Sumatra, Bali, DI Yogyakarta</w:t>
            </w:r>
          </w:p>
        </w:tc>
        <w:tc>
          <w:tcPr>
            <w:tcW w:w="3969" w:type="dxa"/>
            <w:vAlign w:val="center"/>
          </w:tcPr>
          <w:p w14:paraId="67242936" w14:textId="77777777" w:rsidR="00DD5535" w:rsidRPr="00DD5535" w:rsidRDefault="00DD5535" w:rsidP="002E0667">
            <w:pPr>
              <w:spacing w:after="0" w:line="240" w:lineRule="auto"/>
              <w:contextualSpacing/>
              <w:jc w:val="both"/>
              <w:rPr>
                <w:rFonts w:cs="Times New Roman"/>
                <w:szCs w:val="24"/>
              </w:rPr>
            </w:pPr>
            <w:r w:rsidRPr="00DD5535">
              <w:rPr>
                <w:rFonts w:cs="Times New Roman"/>
                <w:szCs w:val="24"/>
              </w:rPr>
              <w:t>Shift from onboarding to active-use quality, transaction-data portability, credit-readiness pilots, and merchant protection.</w:t>
            </w:r>
          </w:p>
        </w:tc>
      </w:tr>
      <w:tr w:rsidR="00DD5535" w:rsidRPr="00DD5535" w14:paraId="71C74CF9" w14:textId="77777777" w:rsidTr="003C609D">
        <w:trPr>
          <w:jc w:val="center"/>
        </w:trPr>
        <w:tc>
          <w:tcPr>
            <w:tcW w:w="1984" w:type="dxa"/>
            <w:vAlign w:val="center"/>
          </w:tcPr>
          <w:p w14:paraId="577B9AE0" w14:textId="77777777" w:rsidR="00DD5535" w:rsidRPr="00DD5535" w:rsidRDefault="00DD5535" w:rsidP="002E0667">
            <w:pPr>
              <w:spacing w:after="0" w:line="240" w:lineRule="auto"/>
              <w:contextualSpacing/>
              <w:jc w:val="both"/>
              <w:rPr>
                <w:rFonts w:cs="Times New Roman"/>
                <w:szCs w:val="24"/>
              </w:rPr>
            </w:pPr>
            <w:r w:rsidRPr="00DD5535">
              <w:rPr>
                <w:rFonts w:cs="Times New Roman"/>
                <w:szCs w:val="24"/>
              </w:rPr>
              <w:t>Tier 2: expanding ecosystems</w:t>
            </w:r>
          </w:p>
        </w:tc>
        <w:tc>
          <w:tcPr>
            <w:tcW w:w="1417" w:type="dxa"/>
            <w:vAlign w:val="center"/>
          </w:tcPr>
          <w:p w14:paraId="3BF15FE9" w14:textId="77777777" w:rsidR="00DD5535" w:rsidRPr="00DD5535" w:rsidRDefault="00DD5535" w:rsidP="002E0667">
            <w:pPr>
              <w:spacing w:after="0" w:line="240" w:lineRule="auto"/>
              <w:contextualSpacing/>
              <w:jc w:val="both"/>
              <w:rPr>
                <w:rFonts w:cs="Times New Roman"/>
                <w:szCs w:val="24"/>
              </w:rPr>
            </w:pPr>
            <w:r w:rsidRPr="00DD5535">
              <w:rPr>
                <w:rFonts w:cs="Times New Roman"/>
                <w:szCs w:val="24"/>
              </w:rPr>
              <w:t>9</w:t>
            </w:r>
          </w:p>
        </w:tc>
        <w:tc>
          <w:tcPr>
            <w:tcW w:w="4535" w:type="dxa"/>
            <w:vAlign w:val="center"/>
          </w:tcPr>
          <w:p w14:paraId="35F953FF" w14:textId="77777777" w:rsidR="00DD5535" w:rsidRPr="00DD5535" w:rsidRDefault="00DD5535" w:rsidP="002E0667">
            <w:pPr>
              <w:spacing w:after="0" w:line="240" w:lineRule="auto"/>
              <w:contextualSpacing/>
              <w:jc w:val="both"/>
              <w:rPr>
                <w:rFonts w:cs="Times New Roman"/>
                <w:szCs w:val="24"/>
              </w:rPr>
            </w:pPr>
            <w:r w:rsidRPr="00DD5535">
              <w:rPr>
                <w:rFonts w:cs="Times New Roman"/>
                <w:szCs w:val="24"/>
              </w:rPr>
              <w:t>Riau, East Kalimantan, Lampung, Riau Islands, West Sumatra, South Kalimantan, West Kalimantan, Jambi, West Nusa Tenggara</w:t>
            </w:r>
          </w:p>
        </w:tc>
        <w:tc>
          <w:tcPr>
            <w:tcW w:w="3969" w:type="dxa"/>
            <w:vAlign w:val="center"/>
          </w:tcPr>
          <w:p w14:paraId="39183C1F" w14:textId="77777777" w:rsidR="00DD5535" w:rsidRPr="00DD5535" w:rsidRDefault="00DD5535" w:rsidP="002E0667">
            <w:pPr>
              <w:spacing w:after="0" w:line="240" w:lineRule="auto"/>
              <w:contextualSpacing/>
              <w:jc w:val="both"/>
              <w:rPr>
                <w:rFonts w:cs="Times New Roman"/>
                <w:szCs w:val="24"/>
              </w:rPr>
            </w:pPr>
            <w:r w:rsidRPr="00DD5535">
              <w:rPr>
                <w:rFonts w:cs="Times New Roman"/>
                <w:szCs w:val="24"/>
              </w:rPr>
              <w:t>Deepen usage, improve sector-specific onboarding, and connect transaction records to formal bookkeeping.</w:t>
            </w:r>
          </w:p>
        </w:tc>
      </w:tr>
      <w:tr w:rsidR="00DD5535" w:rsidRPr="00DD5535" w14:paraId="48F86CF0" w14:textId="77777777" w:rsidTr="003C609D">
        <w:trPr>
          <w:jc w:val="center"/>
        </w:trPr>
        <w:tc>
          <w:tcPr>
            <w:tcW w:w="1984" w:type="dxa"/>
            <w:vAlign w:val="center"/>
          </w:tcPr>
          <w:p w14:paraId="05E0D2E3" w14:textId="77777777" w:rsidR="00DD5535" w:rsidRPr="00DD5535" w:rsidRDefault="00DD5535" w:rsidP="002E0667">
            <w:pPr>
              <w:spacing w:after="0" w:line="240" w:lineRule="auto"/>
              <w:contextualSpacing/>
              <w:jc w:val="both"/>
              <w:rPr>
                <w:rFonts w:cs="Times New Roman"/>
                <w:szCs w:val="24"/>
              </w:rPr>
            </w:pPr>
            <w:r w:rsidRPr="00DD5535">
              <w:rPr>
                <w:rFonts w:cs="Times New Roman"/>
                <w:szCs w:val="24"/>
              </w:rPr>
              <w:t>Tier 3: emerging ecosystems</w:t>
            </w:r>
          </w:p>
        </w:tc>
        <w:tc>
          <w:tcPr>
            <w:tcW w:w="1417" w:type="dxa"/>
            <w:vAlign w:val="center"/>
          </w:tcPr>
          <w:p w14:paraId="1D070DA2" w14:textId="77777777" w:rsidR="00DD5535" w:rsidRPr="00DD5535" w:rsidRDefault="00DD5535" w:rsidP="002E0667">
            <w:pPr>
              <w:spacing w:after="0" w:line="240" w:lineRule="auto"/>
              <w:contextualSpacing/>
              <w:jc w:val="both"/>
              <w:rPr>
                <w:rFonts w:cs="Times New Roman"/>
                <w:szCs w:val="24"/>
              </w:rPr>
            </w:pPr>
            <w:r w:rsidRPr="00DD5535">
              <w:rPr>
                <w:rFonts w:cs="Times New Roman"/>
                <w:szCs w:val="24"/>
              </w:rPr>
              <w:t>9</w:t>
            </w:r>
          </w:p>
        </w:tc>
        <w:tc>
          <w:tcPr>
            <w:tcW w:w="4535" w:type="dxa"/>
            <w:vAlign w:val="center"/>
          </w:tcPr>
          <w:p w14:paraId="32A2B80D" w14:textId="77777777" w:rsidR="00DD5535" w:rsidRPr="00DD5535" w:rsidRDefault="00DD5535" w:rsidP="002E0667">
            <w:pPr>
              <w:spacing w:after="0" w:line="240" w:lineRule="auto"/>
              <w:contextualSpacing/>
              <w:jc w:val="both"/>
              <w:rPr>
                <w:rFonts w:cs="Times New Roman"/>
                <w:szCs w:val="24"/>
              </w:rPr>
            </w:pPr>
            <w:r w:rsidRPr="00DD5535">
              <w:rPr>
                <w:rFonts w:cs="Times New Roman"/>
                <w:szCs w:val="24"/>
              </w:rPr>
              <w:t>Central Kalimantan, North Sulawesi, East Nusa Tenggara, Central Sulawesi, Aceh, Southeast Sulawesi, Bengkulu, Bangka Belitung Islands, Papua</w:t>
            </w:r>
          </w:p>
        </w:tc>
        <w:tc>
          <w:tcPr>
            <w:tcW w:w="3969" w:type="dxa"/>
            <w:vAlign w:val="center"/>
          </w:tcPr>
          <w:p w14:paraId="277B870B" w14:textId="77777777" w:rsidR="00DD5535" w:rsidRPr="00DD5535" w:rsidRDefault="00DD5535" w:rsidP="002E0667">
            <w:pPr>
              <w:spacing w:after="0" w:line="240" w:lineRule="auto"/>
              <w:contextualSpacing/>
              <w:jc w:val="both"/>
              <w:rPr>
                <w:rFonts w:cs="Times New Roman"/>
                <w:szCs w:val="24"/>
              </w:rPr>
            </w:pPr>
            <w:r w:rsidRPr="00DD5535">
              <w:rPr>
                <w:rFonts w:cs="Times New Roman"/>
                <w:szCs w:val="24"/>
              </w:rPr>
              <w:t>Combine merchant acquisition with assisted use, local consumer campaigns, and digital capability support.</w:t>
            </w:r>
          </w:p>
        </w:tc>
      </w:tr>
      <w:tr w:rsidR="00DD5535" w:rsidRPr="00DD5535" w14:paraId="2A08313C" w14:textId="77777777" w:rsidTr="003C609D">
        <w:trPr>
          <w:jc w:val="center"/>
        </w:trPr>
        <w:tc>
          <w:tcPr>
            <w:tcW w:w="1984" w:type="dxa"/>
            <w:vAlign w:val="center"/>
          </w:tcPr>
          <w:p w14:paraId="7D781903" w14:textId="77777777" w:rsidR="00DD5535" w:rsidRPr="00DD5535" w:rsidRDefault="00DD5535" w:rsidP="002E0667">
            <w:pPr>
              <w:spacing w:after="0" w:line="240" w:lineRule="auto"/>
              <w:contextualSpacing/>
              <w:jc w:val="both"/>
              <w:rPr>
                <w:rFonts w:cs="Times New Roman"/>
                <w:szCs w:val="24"/>
              </w:rPr>
            </w:pPr>
            <w:r w:rsidRPr="00DD5535">
              <w:rPr>
                <w:rFonts w:cs="Times New Roman"/>
                <w:szCs w:val="24"/>
              </w:rPr>
              <w:t>Tier 4: foundational ecosystems</w:t>
            </w:r>
          </w:p>
        </w:tc>
        <w:tc>
          <w:tcPr>
            <w:tcW w:w="1417" w:type="dxa"/>
            <w:vAlign w:val="center"/>
          </w:tcPr>
          <w:p w14:paraId="03648287" w14:textId="77777777" w:rsidR="00DD5535" w:rsidRPr="00DD5535" w:rsidRDefault="00DD5535" w:rsidP="002E0667">
            <w:pPr>
              <w:spacing w:after="0" w:line="240" w:lineRule="auto"/>
              <w:contextualSpacing/>
              <w:jc w:val="both"/>
              <w:rPr>
                <w:rFonts w:cs="Times New Roman"/>
                <w:szCs w:val="24"/>
              </w:rPr>
            </w:pPr>
            <w:r w:rsidRPr="00DD5535">
              <w:rPr>
                <w:rFonts w:cs="Times New Roman"/>
                <w:szCs w:val="24"/>
              </w:rPr>
              <w:t>10</w:t>
            </w:r>
          </w:p>
        </w:tc>
        <w:tc>
          <w:tcPr>
            <w:tcW w:w="4535" w:type="dxa"/>
            <w:vAlign w:val="center"/>
          </w:tcPr>
          <w:p w14:paraId="41F02107" w14:textId="77777777" w:rsidR="00DD5535" w:rsidRPr="00DD5535" w:rsidRDefault="00DD5535" w:rsidP="002E0667">
            <w:pPr>
              <w:spacing w:after="0" w:line="240" w:lineRule="auto"/>
              <w:contextualSpacing/>
              <w:jc w:val="both"/>
              <w:rPr>
                <w:rFonts w:cs="Times New Roman"/>
                <w:szCs w:val="24"/>
              </w:rPr>
            </w:pPr>
            <w:r w:rsidRPr="00DD5535">
              <w:rPr>
                <w:rFonts w:cs="Times New Roman"/>
                <w:szCs w:val="24"/>
              </w:rPr>
              <w:t>Gorontalo, North Maluku, Maluku, West Sulawesi, North Kalimantan, Southwest Papua, West Papua, Central Papua, South Papua, Highland Papua</w:t>
            </w:r>
          </w:p>
        </w:tc>
        <w:tc>
          <w:tcPr>
            <w:tcW w:w="3969" w:type="dxa"/>
            <w:vAlign w:val="center"/>
          </w:tcPr>
          <w:p w14:paraId="342FD4EC" w14:textId="77777777" w:rsidR="00DD5535" w:rsidRPr="00DD5535" w:rsidRDefault="00DD5535" w:rsidP="002E0667">
            <w:pPr>
              <w:spacing w:after="0" w:line="240" w:lineRule="auto"/>
              <w:contextualSpacing/>
              <w:jc w:val="both"/>
              <w:rPr>
                <w:rFonts w:cs="Times New Roman"/>
                <w:szCs w:val="24"/>
              </w:rPr>
            </w:pPr>
            <w:r w:rsidRPr="00DD5535">
              <w:rPr>
                <w:rFonts w:cs="Times New Roman"/>
                <w:szCs w:val="24"/>
              </w:rPr>
              <w:t>Prioritize connectivity, agent support, basic literacy, dispute resolution, and low-cost onboarding.</w:t>
            </w:r>
          </w:p>
        </w:tc>
      </w:tr>
    </w:tbl>
    <w:p w14:paraId="175599ED" w14:textId="77777777" w:rsidR="00DD5535" w:rsidRPr="00DD5535" w:rsidRDefault="00DD5535" w:rsidP="00DD5535">
      <w:pPr>
        <w:spacing w:after="0"/>
        <w:contextualSpacing/>
        <w:jc w:val="both"/>
        <w:rPr>
          <w:rFonts w:cs="Times New Roman"/>
          <w:szCs w:val="24"/>
        </w:rPr>
      </w:pPr>
      <w:r w:rsidRPr="00DD5535">
        <w:rPr>
          <w:rFonts w:cs="Times New Roman"/>
          <w:i/>
          <w:szCs w:val="24"/>
        </w:rPr>
        <w:t>Source: Author classification using quartiles of the supplied provincial merchant counts.</w:t>
      </w:r>
    </w:p>
    <w:p w14:paraId="49FEC561" w14:textId="77777777" w:rsidR="00DD5535" w:rsidRPr="00DD5535" w:rsidRDefault="00DD5535" w:rsidP="002E0667">
      <w:pPr>
        <w:spacing w:after="0"/>
        <w:contextualSpacing/>
        <w:jc w:val="center"/>
        <w:rPr>
          <w:rFonts w:cs="Times New Roman"/>
          <w:szCs w:val="24"/>
        </w:rPr>
      </w:pPr>
      <w:r w:rsidRPr="00DD5535">
        <w:rPr>
          <w:rFonts w:cs="Times New Roman"/>
          <w:noProof/>
          <w:szCs w:val="24"/>
        </w:rPr>
        <w:drawing>
          <wp:inline distT="0" distB="0" distL="0" distR="0" wp14:anchorId="5FA50DEF" wp14:editId="6E14CE7B">
            <wp:extent cx="2266950" cy="198855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5.png"/>
                    <pic:cNvPicPr/>
                  </pic:nvPicPr>
                  <pic:blipFill>
                    <a:blip r:embed="rId13"/>
                    <a:stretch>
                      <a:fillRect/>
                    </a:stretch>
                  </pic:blipFill>
                  <pic:spPr>
                    <a:xfrm>
                      <a:off x="0" y="0"/>
                      <a:ext cx="2273781" cy="1994545"/>
                    </a:xfrm>
                    <a:prstGeom prst="rect">
                      <a:avLst/>
                    </a:prstGeom>
                  </pic:spPr>
                </pic:pic>
              </a:graphicData>
            </a:graphic>
          </wp:inline>
        </w:drawing>
      </w:r>
    </w:p>
    <w:p w14:paraId="4DE7017D" w14:textId="77777777" w:rsidR="00DD5535" w:rsidRPr="00DD5535" w:rsidRDefault="00DD5535" w:rsidP="00717FED">
      <w:pPr>
        <w:spacing w:after="0"/>
        <w:ind w:firstLine="720"/>
        <w:contextualSpacing/>
        <w:jc w:val="both"/>
        <w:rPr>
          <w:rFonts w:cs="Times New Roman"/>
          <w:szCs w:val="24"/>
        </w:rPr>
      </w:pPr>
      <w:r w:rsidRPr="00DD5535">
        <w:rPr>
          <w:rFonts w:cs="Times New Roman"/>
          <w:b/>
          <w:szCs w:val="24"/>
        </w:rPr>
        <w:t>Figure 5. Lorenz curve of provincial QRIS merchant distribution, Q2 2025</w:t>
      </w:r>
    </w:p>
    <w:p w14:paraId="3230FDCA" w14:textId="77777777" w:rsidR="00DD5535" w:rsidRPr="00DD5535" w:rsidRDefault="00DD5535" w:rsidP="00717FED">
      <w:pPr>
        <w:spacing w:after="0"/>
        <w:ind w:firstLine="720"/>
        <w:contextualSpacing/>
        <w:jc w:val="both"/>
        <w:rPr>
          <w:rFonts w:cs="Times New Roman"/>
          <w:szCs w:val="24"/>
        </w:rPr>
      </w:pPr>
      <w:r w:rsidRPr="00DD5535">
        <w:rPr>
          <w:rFonts w:cs="Times New Roman"/>
          <w:i/>
          <w:szCs w:val="24"/>
        </w:rPr>
        <w:lastRenderedPageBreak/>
        <w:t>Source: Author calculations from the supplied provincial QRIS merchant dataset.</w:t>
      </w:r>
    </w:p>
    <w:p w14:paraId="3B9B05A0" w14:textId="77777777" w:rsidR="00717FED" w:rsidRDefault="00717FED" w:rsidP="00DD5535">
      <w:pPr>
        <w:spacing w:after="0"/>
        <w:contextualSpacing/>
        <w:jc w:val="both"/>
        <w:rPr>
          <w:rFonts w:cs="Times New Roman"/>
          <w:szCs w:val="24"/>
        </w:rPr>
      </w:pPr>
    </w:p>
    <w:p w14:paraId="1C84FF02" w14:textId="45338F89" w:rsidR="00DD5535" w:rsidRDefault="00DD5535" w:rsidP="00717FED">
      <w:pPr>
        <w:spacing w:after="0"/>
        <w:ind w:left="360"/>
        <w:contextualSpacing/>
        <w:jc w:val="both"/>
        <w:rPr>
          <w:rFonts w:cs="Times New Roman"/>
          <w:szCs w:val="24"/>
        </w:rPr>
      </w:pPr>
      <w:r w:rsidRPr="00DD5535">
        <w:rPr>
          <w:rFonts w:cs="Times New Roman"/>
          <w:szCs w:val="24"/>
        </w:rPr>
        <w:t>Tier 1 provinces are suitable for second-stage interventions because a large acceptance network already exists. The policy question is no longer how many QR codes have been issued, but how many merchants transact regularly, maintain reliable records, and convert those records into better financial decisions. Tier 4 provinces require a different sequence: infrastructure, assisted onboarding, trust, and consumer protection must precede sophisticated credit-data use.</w:t>
      </w:r>
    </w:p>
    <w:p w14:paraId="3537B449" w14:textId="77777777" w:rsidR="00DD5535" w:rsidRPr="00DD5535" w:rsidRDefault="00DD5535" w:rsidP="00717FED">
      <w:pPr>
        <w:pStyle w:val="Heading2"/>
        <w:spacing w:before="0" w:after="0"/>
      </w:pPr>
      <w:r w:rsidRPr="00DD5535">
        <w:t>4.8 Discussion: From Access Expansion to MSME Scalability</w:t>
      </w:r>
    </w:p>
    <w:p w14:paraId="350C3614" w14:textId="77777777" w:rsidR="00DD5535" w:rsidRPr="00DD5535" w:rsidRDefault="00DD5535" w:rsidP="00717FED">
      <w:pPr>
        <w:spacing w:after="0"/>
        <w:ind w:left="360"/>
        <w:contextualSpacing/>
        <w:jc w:val="both"/>
        <w:rPr>
          <w:rFonts w:cs="Times New Roman"/>
          <w:szCs w:val="24"/>
        </w:rPr>
      </w:pPr>
      <w:r w:rsidRPr="00DD5535">
        <w:rPr>
          <w:rFonts w:cs="Times New Roman"/>
          <w:szCs w:val="24"/>
        </w:rPr>
        <w:t>The revised evidence supports an access-usage-capability-scale framework. Merchant and consumer numbers represent access and network reach. Transaction volume and value represent aggregate usage. Financial literacy indicates a capability environment, while MSME credit captures one dimension of formal financing. None of these indicators alone measures scalability, but together they show whether the ecosystem is developing the conditions under which scalability can become more feasible.</w:t>
      </w:r>
    </w:p>
    <w:p w14:paraId="308363C6" w14:textId="77777777" w:rsidR="00DD5535" w:rsidRPr="00DD5535" w:rsidRDefault="00DD5535" w:rsidP="00717FED">
      <w:pPr>
        <w:spacing w:after="0"/>
        <w:ind w:left="360"/>
        <w:contextualSpacing/>
        <w:jc w:val="both"/>
        <w:rPr>
          <w:rFonts w:cs="Times New Roman"/>
          <w:szCs w:val="24"/>
        </w:rPr>
      </w:pPr>
      <w:r w:rsidRPr="00DD5535">
        <w:rPr>
          <w:rFonts w:cs="Times New Roman"/>
          <w:szCs w:val="24"/>
        </w:rPr>
        <w:t>Three findings are especially important. First, the payment network expanded rapidly on both the merchant and consumer sides. Second, transaction activity grew much faster than network membership in Q2 2025, indicating that use intensified rather than merely tracking registrations. Third, access remains geographically concentrated. The combination implies that Indonesia has moved beyond the first stage of digital-payment diffusion, but the benefits are unlikely to be uniform across regions or merchant types.</w:t>
      </w:r>
    </w:p>
    <w:p w14:paraId="3B9779D9" w14:textId="77777777" w:rsidR="00DD5535" w:rsidRPr="00DD5535" w:rsidRDefault="00DD5535" w:rsidP="00717FED">
      <w:pPr>
        <w:spacing w:after="0"/>
        <w:ind w:left="360"/>
        <w:contextualSpacing/>
        <w:jc w:val="both"/>
        <w:rPr>
          <w:rFonts w:cs="Times New Roman"/>
          <w:szCs w:val="24"/>
        </w:rPr>
      </w:pPr>
      <w:r w:rsidRPr="00DD5535">
        <w:rPr>
          <w:rFonts w:cs="Times New Roman"/>
          <w:szCs w:val="24"/>
        </w:rPr>
        <w:t>For MSMEs, QRIS can support scalability through lower cash-handling costs, broader payment choice, transaction documentation, faster reconciliation, and potential integration with financing. These channels are conditional. A merchant must separate business and household funds, understand settlement timing and fees, maintain accurate records, protect account credentials, and use transaction information for inventory and cash-flow decisions. Without these practices, QRIS remains a convenient acceptance instrument rather than a business-upgrading technology.</w:t>
      </w:r>
    </w:p>
    <w:p w14:paraId="3D2A4848" w14:textId="77777777" w:rsidR="00DD5535" w:rsidRPr="00DD5535" w:rsidRDefault="00DD5535" w:rsidP="00717FED">
      <w:pPr>
        <w:spacing w:after="0"/>
        <w:ind w:left="360"/>
        <w:contextualSpacing/>
        <w:jc w:val="both"/>
        <w:rPr>
          <w:rFonts w:cs="Times New Roman"/>
          <w:szCs w:val="24"/>
        </w:rPr>
      </w:pPr>
      <w:r w:rsidRPr="00DD5535">
        <w:rPr>
          <w:rFonts w:cs="Times New Roman"/>
          <w:szCs w:val="24"/>
        </w:rPr>
        <w:t xml:space="preserve">For lenders and payment providers, transaction records may reduce information asymmetry by showing turnover regularity and cash-flow patterns. However, aggregate national growth does not validate individual creditworthiness. Any use of </w:t>
      </w:r>
      <w:r w:rsidRPr="00DD5535">
        <w:rPr>
          <w:rFonts w:cs="Times New Roman"/>
          <w:szCs w:val="24"/>
        </w:rPr>
        <w:lastRenderedPageBreak/>
        <w:t>QRIS data in underwriting should be consent-based, purpose-limited, auditable, and combined with prudent affordability assessment. Otherwise, the same infrastructure that improves access could generate privacy risks, algorithmic exclusion, or over-indebtedness.</w:t>
      </w:r>
    </w:p>
    <w:p w14:paraId="1A23D2D1" w14:textId="77777777" w:rsidR="00DD5535" w:rsidRPr="00DD5535" w:rsidRDefault="00DD5535" w:rsidP="00717FED">
      <w:pPr>
        <w:spacing w:after="0"/>
        <w:ind w:left="360"/>
        <w:contextualSpacing/>
        <w:jc w:val="both"/>
        <w:rPr>
          <w:rFonts w:cs="Times New Roman"/>
          <w:szCs w:val="24"/>
        </w:rPr>
      </w:pPr>
      <w:r w:rsidRPr="00DD5535">
        <w:rPr>
          <w:rFonts w:cs="Times New Roman"/>
          <w:szCs w:val="24"/>
        </w:rPr>
        <w:t>The policy implication is a change in the unit of success. Registration totals remain useful for measuring reach, but the next phase should monitor active merchants, transaction regularity, settlement reliability, complaint resolution, bookkeeping adoption, financing conversion, and business outcomes. The article therefore does not claim that QRIS has already created MSME economies of scale. It concludes that QRIS has built a substantial access and usage layer whose conversion into scalable MSME performance depends on capability, governance, finance, and regional implementation.</w:t>
      </w:r>
    </w:p>
    <w:p w14:paraId="6B5B5B8A" w14:textId="4F90779E" w:rsidR="00DD5535" w:rsidRPr="00DD5535" w:rsidRDefault="00DD5535" w:rsidP="00DD5535">
      <w:pPr>
        <w:spacing w:after="0"/>
        <w:contextualSpacing/>
        <w:jc w:val="both"/>
        <w:rPr>
          <w:rFonts w:cs="Times New Roman"/>
          <w:szCs w:val="24"/>
        </w:rPr>
      </w:pPr>
    </w:p>
    <w:p w14:paraId="2AD39F24" w14:textId="77777777" w:rsidR="00DD5535" w:rsidRPr="00DD5535" w:rsidRDefault="00DD5535" w:rsidP="00717FED">
      <w:pPr>
        <w:pStyle w:val="Heading1"/>
        <w:spacing w:before="0" w:after="0"/>
      </w:pPr>
      <w:r w:rsidRPr="00DD5535">
        <w:t>5. Conclusion</w:t>
      </w:r>
    </w:p>
    <w:p w14:paraId="138CF209" w14:textId="77777777" w:rsidR="00DD5535" w:rsidRPr="00DD5535" w:rsidRDefault="00DD5535" w:rsidP="00717FED">
      <w:pPr>
        <w:spacing w:after="0"/>
        <w:contextualSpacing/>
        <w:jc w:val="both"/>
        <w:rPr>
          <w:rFonts w:cs="Times New Roman"/>
          <w:szCs w:val="24"/>
        </w:rPr>
      </w:pPr>
      <w:r w:rsidRPr="00DD5535">
        <w:rPr>
          <w:rFonts w:cs="Times New Roman"/>
          <w:szCs w:val="24"/>
        </w:rPr>
        <w:t>This study evaluates Indonesia’s QRIS ecosystem through national trends, provincial concentration, consumer-network growth, transaction activity, financial capability, and MSME financing indicators. Registered merchants increased from 13.0 million in 2020 to 43.0 million in 2025, while consumer users reached approximately 60 million by Q4 2025. At the usage level, Q2 2025 recorded 1.19 billion transactions worth Rp110 trillion, representing year-on-year growth of 141 percent and 111 percent, respectively.</w:t>
      </w:r>
    </w:p>
    <w:p w14:paraId="212E0176" w14:textId="77777777" w:rsidR="00DD5535" w:rsidRPr="00DD5535" w:rsidRDefault="00DD5535" w:rsidP="00DD5535">
      <w:pPr>
        <w:spacing w:after="0"/>
        <w:contextualSpacing/>
        <w:jc w:val="both"/>
        <w:rPr>
          <w:rFonts w:cs="Times New Roman"/>
          <w:szCs w:val="24"/>
        </w:rPr>
      </w:pPr>
      <w:r w:rsidRPr="00DD5535">
        <w:rPr>
          <w:rFonts w:cs="Times New Roman"/>
          <w:szCs w:val="24"/>
        </w:rPr>
        <w:t>The provincial evidence reveals substantial spatial concentration. The ten largest provinces accounted for 79.41 percent of provincial merchants, the HHI was approximately 1048, and the Gini coefficient was 0.685. These findings show that national QRIS expansion is not geographically uniform. Large networks in Java and major urban economies coexist with much smaller ecosystems in eastern and newly separated provinces.</w:t>
      </w:r>
    </w:p>
    <w:p w14:paraId="7CFADC90" w14:textId="77777777" w:rsidR="00DD5535" w:rsidRPr="00DD5535" w:rsidRDefault="00DD5535" w:rsidP="00DD5535">
      <w:pPr>
        <w:spacing w:after="0"/>
        <w:contextualSpacing/>
        <w:jc w:val="both"/>
        <w:rPr>
          <w:rFonts w:cs="Times New Roman"/>
          <w:szCs w:val="24"/>
        </w:rPr>
      </w:pPr>
      <w:r w:rsidRPr="00DD5535">
        <w:rPr>
          <w:rFonts w:cs="Times New Roman"/>
          <w:szCs w:val="24"/>
        </w:rPr>
        <w:t>The national correlations show that QRIS merchant expansion moved closely with MSME credit and financial literacy, but the short series and the inclusion of estimated 2025 MSME values prevent causal interpretation. The financial-inclusion and MSME-count series also contain volatility and measurement discontinuities. The central conclusion is therefore conditional: QRIS has become a necessary access and usage infrastructure, but it is not sufficient evidence of MSME scalability.</w:t>
      </w:r>
    </w:p>
    <w:p w14:paraId="3EEC7234" w14:textId="24708E2B" w:rsidR="00DD5535" w:rsidRDefault="00DD5535" w:rsidP="00DD5535">
      <w:pPr>
        <w:spacing w:after="0"/>
        <w:contextualSpacing/>
        <w:jc w:val="both"/>
        <w:rPr>
          <w:rFonts w:cs="Times New Roman"/>
          <w:szCs w:val="24"/>
        </w:rPr>
      </w:pPr>
      <w:r w:rsidRPr="00DD5535">
        <w:rPr>
          <w:rFonts w:cs="Times New Roman"/>
          <w:szCs w:val="24"/>
        </w:rPr>
        <w:lastRenderedPageBreak/>
        <w:t>Scalability requires the payment layer to be connected to financial management, reliable transaction records, appropriate credit, data protection, merchant capability, consumer trust, and regionally differentiated implementation. Policy should consequently move from counting access points toward measuring productive, safe, and sustained use.</w:t>
      </w:r>
    </w:p>
    <w:p w14:paraId="0FE61254" w14:textId="77777777" w:rsidR="00DD5535" w:rsidRPr="00DD5535" w:rsidRDefault="00DD5535" w:rsidP="00DD5535">
      <w:pPr>
        <w:spacing w:after="0"/>
        <w:contextualSpacing/>
        <w:jc w:val="both"/>
        <w:rPr>
          <w:rFonts w:cs="Times New Roman"/>
          <w:b/>
          <w:bCs/>
          <w:szCs w:val="24"/>
        </w:rPr>
      </w:pPr>
      <w:r w:rsidRPr="00DD5535">
        <w:rPr>
          <w:rFonts w:cs="Times New Roman"/>
          <w:b/>
          <w:bCs/>
          <w:szCs w:val="24"/>
        </w:rPr>
        <w:t>5.1 Limitations and Future Research</w:t>
      </w:r>
    </w:p>
    <w:p w14:paraId="0859E767" w14:textId="77777777" w:rsidR="00DD5535" w:rsidRPr="00DD5535" w:rsidRDefault="00DD5535" w:rsidP="00717FED">
      <w:pPr>
        <w:spacing w:after="0"/>
        <w:ind w:left="360"/>
        <w:contextualSpacing/>
        <w:jc w:val="both"/>
        <w:rPr>
          <w:rFonts w:cs="Times New Roman"/>
          <w:szCs w:val="24"/>
        </w:rPr>
      </w:pPr>
      <w:r w:rsidRPr="00DD5535">
        <w:rPr>
          <w:rFonts w:cs="Times New Roman"/>
          <w:szCs w:val="24"/>
        </w:rPr>
        <w:t>First, the national annual series is short. Six observations cannot support robust causal inference, and high correlations may reflect common trends rather than structural relationships. Second, the 2025 MSME credit and MSME-count values are analytical estimates introduced for continuity; they should be replaced when official comparable data become available.</w:t>
      </w:r>
    </w:p>
    <w:p w14:paraId="7C0F0772" w14:textId="77777777" w:rsidR="00DD5535" w:rsidRPr="00DD5535" w:rsidRDefault="00DD5535" w:rsidP="00717FED">
      <w:pPr>
        <w:spacing w:after="0"/>
        <w:ind w:left="360"/>
        <w:contextualSpacing/>
        <w:jc w:val="both"/>
        <w:rPr>
          <w:rFonts w:cs="Times New Roman"/>
          <w:szCs w:val="24"/>
        </w:rPr>
      </w:pPr>
      <w:r w:rsidRPr="00DD5535">
        <w:rPr>
          <w:rFonts w:cs="Times New Roman"/>
          <w:szCs w:val="24"/>
        </w:rPr>
        <w:t>Third, registered merchants are not equivalent to active merchants. The aggregate transaction data improve the analysis of usage, but they do not identify the distribution of activity across merchant sizes, sectors, or regions. Fourth, provincial merchant counts are absolute values. Large-population provinces naturally dominate, so future studies should calculate merchants per 1,000 MSMEs, users per capita, transaction value per merchant, and active-merchant ratios.</w:t>
      </w:r>
    </w:p>
    <w:p w14:paraId="679DA6FC" w14:textId="77777777" w:rsidR="00DD5535" w:rsidRPr="00DD5535" w:rsidRDefault="00DD5535" w:rsidP="00717FED">
      <w:pPr>
        <w:spacing w:after="0"/>
        <w:ind w:left="360"/>
        <w:contextualSpacing/>
        <w:jc w:val="both"/>
        <w:rPr>
          <w:rFonts w:cs="Times New Roman"/>
          <w:szCs w:val="24"/>
        </w:rPr>
      </w:pPr>
      <w:r w:rsidRPr="00DD5535">
        <w:rPr>
          <w:rFonts w:cs="Times New Roman"/>
          <w:szCs w:val="24"/>
        </w:rPr>
        <w:t>Fifth, transaction growth does not automatically represent additional business growth. Digital payments may substitute for cash without increasing total sales. Merchant-level panel data are needed to test effects on revenue, costs, inventory turnover, employment, survival, credit access, and productivity. Future research should also distinguish micro, small, and medium firms and compare urban and rural merchants.</w:t>
      </w:r>
    </w:p>
    <w:p w14:paraId="261BF414" w14:textId="77777777" w:rsidR="00DD5535" w:rsidRPr="00DD5535" w:rsidRDefault="00DD5535" w:rsidP="00717FED">
      <w:pPr>
        <w:spacing w:after="0"/>
        <w:ind w:left="360"/>
        <w:contextualSpacing/>
        <w:jc w:val="both"/>
        <w:rPr>
          <w:rFonts w:cs="Times New Roman"/>
          <w:szCs w:val="24"/>
        </w:rPr>
      </w:pPr>
      <w:r w:rsidRPr="00DD5535">
        <w:rPr>
          <w:rFonts w:cs="Times New Roman"/>
          <w:szCs w:val="24"/>
        </w:rPr>
        <w:t>Finally, stronger designs should combine administrative data with surveys, interviews, or quasi-experimental methods. A provincial or district panel could test whether improvements in connectivity, literacy, active QRIS use, and financing precede measurable business outcomes. Experimental pilots could evaluate QRIS-based bookkeeping support, credit-readiness training, and consent-based data portability.</w:t>
      </w:r>
    </w:p>
    <w:p w14:paraId="644D6FEB" w14:textId="1903E60E" w:rsidR="00DD5535" w:rsidRPr="00DD5535" w:rsidRDefault="00DD5535" w:rsidP="00F82340">
      <w:pPr>
        <w:pStyle w:val="Heading1"/>
        <w:spacing w:before="0" w:after="0"/>
      </w:pPr>
      <w:r w:rsidRPr="00DD5535">
        <w:t>6. Policy Recommendations</w:t>
      </w:r>
    </w:p>
    <w:p w14:paraId="4993B2D1" w14:textId="77777777" w:rsidR="003E0A1D" w:rsidRPr="003E0A1D" w:rsidRDefault="003E0A1D" w:rsidP="00F82340">
      <w:pPr>
        <w:pStyle w:val="Heading2"/>
        <w:spacing w:before="0" w:after="0"/>
      </w:pPr>
      <w:r w:rsidRPr="003E0A1D">
        <w:t>6.1 Replace Registration-Only Targets with an Inclusion-Quality Dashboard</w:t>
      </w:r>
    </w:p>
    <w:p w14:paraId="423FEAE5" w14:textId="77777777" w:rsidR="003E0A1D" w:rsidRPr="003E0A1D" w:rsidRDefault="003E0A1D" w:rsidP="00F82340">
      <w:pPr>
        <w:spacing w:after="0"/>
        <w:ind w:left="360"/>
        <w:contextualSpacing/>
        <w:jc w:val="both"/>
        <w:rPr>
          <w:rFonts w:cs="Times New Roman"/>
          <w:szCs w:val="24"/>
        </w:rPr>
      </w:pPr>
      <w:r w:rsidRPr="003E0A1D">
        <w:t xml:space="preserve">Bank Indonesia should lead the development of a national Inclusion-Quality Dashboard, with OJK, ASPI, payment service providers, banks, fintech firms, and MSME agencies supplying harmonized indicators. The dashboard should distinguish </w:t>
      </w:r>
      <w:r w:rsidRPr="003E0A1D">
        <w:lastRenderedPageBreak/>
        <w:t>registered merchants from merchants that transact at least once within a defined reporting period and should separately report transaction frequency, median transaction value, settlement reliability, complaint incidence, and merchant retention. This recommendation is an immediate priority because the present evidence shows that merchant registration and transaction activity are not interchangeable measures. Core indicators should include the active-merchant ratio, median monthly transaction frequency, settlement-failure rate, median complaint-resolution time, and twelve-month merchant-retention rate. Public reporting should protect confidentiality while still permitting comparison across provinces, sectors, and merchant-size categories.</w:t>
      </w:r>
    </w:p>
    <w:p w14:paraId="4591BCEE" w14:textId="77777777" w:rsidR="003E0A1D" w:rsidRPr="003E0A1D" w:rsidRDefault="003E0A1D" w:rsidP="00F82340">
      <w:pPr>
        <w:pStyle w:val="Heading2"/>
        <w:spacing w:before="0" w:after="0"/>
      </w:pPr>
      <w:r w:rsidRPr="003E0A1D">
        <w:t>6.2 Build QRIS-Based MSME Financial-Management and Credit-Readiness Programs</w:t>
      </w:r>
    </w:p>
    <w:p w14:paraId="0309E19D" w14:textId="77777777" w:rsidR="003E0A1D" w:rsidRPr="003E0A1D" w:rsidRDefault="003E0A1D" w:rsidP="00F82340">
      <w:pPr>
        <w:spacing w:after="0"/>
        <w:ind w:left="360"/>
        <w:contextualSpacing/>
        <w:jc w:val="both"/>
        <w:rPr>
          <w:rFonts w:cs="Times New Roman"/>
          <w:szCs w:val="24"/>
        </w:rPr>
      </w:pPr>
      <w:r w:rsidRPr="003E0A1D">
        <w:t>OJK should coordinate a national QRIS-based MSME financial-management and credit-readiness program with banks, fintech lenders, payment providers, local governments, and MSME support institutions. The program should use standardized merchant transaction summaries to teach daily reconciliation, separation of household and business funds, cash-flow forecasting, inventory planning, pricing, fraud prevention, and responsible borrowing. Participation should not automatically trigger a credit offer; the purpose is to improve business capability before financing decisions are made. Pilot evaluation should track bookkeeping adoption, the share of participants maintaining separate business accounts, the quality of loan applications, approval and rejection rates, repayment performance, and changes in working-capital management. Priority should be given to micro and small firms that already accept QRIS but lack reliable financial records.</w:t>
      </w:r>
    </w:p>
    <w:p w14:paraId="634E7F13" w14:textId="77777777" w:rsidR="003E0A1D" w:rsidRPr="003E0A1D" w:rsidRDefault="003E0A1D" w:rsidP="00F82340">
      <w:pPr>
        <w:pStyle w:val="Heading2"/>
        <w:spacing w:before="0" w:after="0"/>
      </w:pPr>
      <w:r w:rsidRPr="003E0A1D">
        <w:t>6.3 Develop Consent-Based and Purpose-Limited Transaction-Data Portability</w:t>
      </w:r>
    </w:p>
    <w:p w14:paraId="556DEAF2" w14:textId="77777777" w:rsidR="003E0A1D" w:rsidRPr="003E0A1D" w:rsidRDefault="003E0A1D" w:rsidP="00F82340">
      <w:pPr>
        <w:spacing w:after="0"/>
        <w:ind w:left="360"/>
        <w:contextualSpacing/>
        <w:jc w:val="both"/>
        <w:rPr>
          <w:rFonts w:cs="Times New Roman"/>
          <w:szCs w:val="24"/>
        </w:rPr>
      </w:pPr>
      <w:r w:rsidRPr="003E0A1D">
        <w:t xml:space="preserve">A consent-based transaction-data portability framework should allow MSMEs to share standardized QRIS transaction summaries with licensed financial institutions without surrendering unrestricted access to raw account data. Bank Indonesia and OJK should jointly define the data fields, consent language, permitted purposes, retention periods, security standards, audit trails, correction procedures, and revocation rights. Data should be shared only for a clearly stated purpose and for a limited period, and refusal to share should not automatically exclude a merchant from conventional assessment. The framework should also require plain-language </w:t>
      </w:r>
      <w:r w:rsidRPr="003E0A1D">
        <w:lastRenderedPageBreak/>
        <w:t>explanations, breach notification, and effective complaint mechanisms. Success should be measured through consent-completion rates, withdrawal rates, data-correction requests, privacy incidents, processing time, and the proportion of applications assessed through both digital and conventional evidence.</w:t>
      </w:r>
    </w:p>
    <w:p w14:paraId="1677B41D" w14:textId="77777777" w:rsidR="003E0A1D" w:rsidRPr="003E0A1D" w:rsidRDefault="003E0A1D" w:rsidP="00F82340">
      <w:pPr>
        <w:pStyle w:val="Heading2"/>
        <w:spacing w:before="0" w:after="0"/>
      </w:pPr>
      <w:r w:rsidRPr="003E0A1D">
        <w:t>6.4 Differentiate Provincial Intervention by Ecosystem Tier</w:t>
      </w:r>
    </w:p>
    <w:p w14:paraId="094581B3" w14:textId="77777777" w:rsidR="003E0A1D" w:rsidRPr="003E0A1D" w:rsidRDefault="003E0A1D" w:rsidP="00F82340">
      <w:pPr>
        <w:spacing w:after="0"/>
        <w:ind w:left="360"/>
        <w:contextualSpacing/>
        <w:jc w:val="both"/>
        <w:rPr>
          <w:rFonts w:cs="Times New Roman"/>
          <w:szCs w:val="24"/>
        </w:rPr>
      </w:pPr>
      <w:r w:rsidRPr="003E0A1D">
        <w:t>Provincial intervention should follow the ecosystem tiers identified in Section 4.7 rather than apply a uniform national target. Tier 1 provinces should move from onboarding toward active-use quality, transaction-data pilots, sector-specific credit readiness, and advanced merchant protection. Tier 2 provinces should deepen usage and integrate QRIS records with bookkeeping support. Tier 3 provinces require assisted onboarding, local consumer activation, and practical digital capability programs. Tier 4 provinces need foundational connectivity, local agents, basic literacy, low-cost onboarding, and accessible dispute resolution before advanced credit-data initiatives are introduced. Bank Indonesia regional offices and OJK regional offices should work with provincial governments to prepare annual action plans using common indicators but different intervention sequences.</w:t>
      </w:r>
    </w:p>
    <w:p w14:paraId="2B32546D" w14:textId="77777777" w:rsidR="003E0A1D" w:rsidRPr="003E0A1D" w:rsidRDefault="003E0A1D" w:rsidP="00F82340">
      <w:pPr>
        <w:pStyle w:val="Heading2"/>
        <w:spacing w:before="0" w:after="0"/>
      </w:pPr>
      <w:r w:rsidRPr="003E0A1D">
        <w:t>6.5 Protect Merchants as a Condition of Inclusion</w:t>
      </w:r>
    </w:p>
    <w:p w14:paraId="44DDB383" w14:textId="77777777" w:rsidR="003E0A1D" w:rsidRPr="003E0A1D" w:rsidRDefault="003E0A1D" w:rsidP="00F82340">
      <w:pPr>
        <w:spacing w:after="0"/>
        <w:ind w:left="360"/>
        <w:contextualSpacing/>
        <w:jc w:val="both"/>
        <w:rPr>
          <w:rFonts w:cs="Times New Roman"/>
          <w:szCs w:val="24"/>
        </w:rPr>
      </w:pPr>
      <w:r w:rsidRPr="003E0A1D">
        <w:t>Merchant protection should be treated as an enabling condition for sustained inclusion rather than as a separate compliance exercise. Payment providers should publish clear information on fees, settlement timing, refunds, failed-payment procedures, account security, and complaint escalation. OJK and Bank Indonesia should establish service-level expectations for acknowledgement, investigation, and resolution of merchant complaints, with stronger requirements for account takeover, social-engineering fraud, disputed payments, and delayed settlement. Providers should also maintain simple multilingual guidance suitable for micro merchants. Key indicators should include complaint incidence per 10,000 active merchants, median resolution time, repeat-complaint rates, fraud-loss recovery, and the share of merchants who understand the available redress channels.</w:t>
      </w:r>
    </w:p>
    <w:p w14:paraId="143689B4" w14:textId="77777777" w:rsidR="003E0A1D" w:rsidRPr="003E0A1D" w:rsidRDefault="003E0A1D" w:rsidP="00F82340">
      <w:pPr>
        <w:pStyle w:val="Heading2"/>
        <w:spacing w:before="0" w:after="0"/>
      </w:pPr>
      <w:r w:rsidRPr="003E0A1D">
        <w:t>6.6 Test QRIS-Based Credit Scoring through a Supervised Regulatory Sandbox</w:t>
      </w:r>
    </w:p>
    <w:p w14:paraId="0B4D8CFE" w14:textId="77777777" w:rsidR="003E0A1D" w:rsidRPr="003E0A1D" w:rsidRDefault="003E0A1D" w:rsidP="00F82340">
      <w:pPr>
        <w:spacing w:after="0"/>
        <w:ind w:left="360"/>
        <w:contextualSpacing/>
        <w:jc w:val="both"/>
        <w:rPr>
          <w:rFonts w:cs="Times New Roman"/>
          <w:szCs w:val="24"/>
        </w:rPr>
      </w:pPr>
      <w:r w:rsidRPr="003E0A1D">
        <w:t xml:space="preserve">A supervised regulatory sandbox should test whether QRIS transaction summaries can improve MSME credit assessment without increasing over-indebtedness, privacy risk, or discriminatory exclusion. The sandbox should include banks, licensed fintech </w:t>
      </w:r>
      <w:r w:rsidRPr="003E0A1D">
        <w:lastRenderedPageBreak/>
        <w:t>lenders, payment providers, consumer-protection representatives, and MSME agencies under regulator-defined safeguards. Transaction data must not be the sole basis for automated rejection, and adverse decisions should be subject to human review and explanation. Models should undergo bias testing, model-drift monitoring, affordability assessment, and independent audit. Evaluation should compare approval rates, pricing, processing time, repayment, default, complaints, consent withdrawal, model error, and business outcomes against a suitable control or benchmark group.</w:t>
      </w:r>
    </w:p>
    <w:p w14:paraId="1CE7969A" w14:textId="77777777" w:rsidR="003E0A1D" w:rsidRPr="003E0A1D" w:rsidRDefault="003E0A1D" w:rsidP="00F82340">
      <w:pPr>
        <w:pStyle w:val="Heading2"/>
        <w:spacing w:before="0" w:after="0"/>
      </w:pPr>
      <w:r w:rsidRPr="003E0A1D">
        <w:t>6.7 Publish Active-Use and Distributional Statistics</w:t>
      </w:r>
    </w:p>
    <w:p w14:paraId="7B894E56" w14:textId="77777777" w:rsidR="003E0A1D" w:rsidRPr="003E0A1D" w:rsidRDefault="003E0A1D" w:rsidP="00F82340">
      <w:pPr>
        <w:spacing w:after="0"/>
        <w:ind w:left="360"/>
        <w:contextualSpacing/>
        <w:jc w:val="both"/>
        <w:rPr>
          <w:rFonts w:cs="Times New Roman"/>
          <w:szCs w:val="24"/>
        </w:rPr>
      </w:pPr>
      <w:r w:rsidRPr="003E0A1D">
        <w:t>Public statistics should distinguish network reach from actual economic use. Bank Indonesia and ASPI should publish regular indicators on active and dormant merchants, transaction-frequency distributions, median transaction values, concentration by province and sector, and the share of merchants with sustained activity over time. Where confidentiality allows, reporting should also distinguish micro, small, and medium enterprises and provide urban-rural breakdowns. Distributional measures are essential because national totals can rise while activity remains concentrated among a relatively small group of merchants. A minimum publication standard should include definitions, coverage, revisions, missing-data treatment, and comparability notes so that researchers and policymakers can interpret trends consistently.</w:t>
      </w:r>
    </w:p>
    <w:p w14:paraId="572C03BC" w14:textId="77777777" w:rsidR="003E0A1D" w:rsidRPr="003E0A1D" w:rsidRDefault="003E0A1D" w:rsidP="00F82340">
      <w:pPr>
        <w:pStyle w:val="Heading2"/>
        <w:spacing w:before="0" w:after="0"/>
      </w:pPr>
      <w:r w:rsidRPr="003E0A1D">
        <w:t>6.8 Link QRIS Policy to Measurable MSME Scalability Outcomes</w:t>
      </w:r>
    </w:p>
    <w:p w14:paraId="4E981EB5" w14:textId="77777777" w:rsidR="003E0A1D" w:rsidRPr="003E0A1D" w:rsidRDefault="003E0A1D" w:rsidP="00F82340">
      <w:pPr>
        <w:spacing w:after="0"/>
        <w:ind w:left="360"/>
        <w:contextualSpacing/>
        <w:jc w:val="both"/>
        <w:rPr>
          <w:rFonts w:cs="Times New Roman"/>
          <w:szCs w:val="24"/>
        </w:rPr>
      </w:pPr>
      <w:r w:rsidRPr="003E0A1D">
        <w:t>The long-term objective of QRIS policy should be measurable MSME scalability rather than payment adoption alone. OJK, Bank Indonesia, BPS, the Ministry of Cooperatives and SMEs, and participating financial institutions should develop a longitudinal evaluation framework linking QRIS use to sales stability, inventory turnover, market reach, formal financing access, productivity, employment, business survival, and resilience to shocks. These outcomes should be assessed with merchant-level panel data and appropriate comparison groups wherever feasible. The framework should explicitly distinguish additional business growth from the substitution of cash transactions by digital payments. QRIS should be considered economically transformative only when sustained use is associated with better business decisions and verifiable improvements in firm performance.</w:t>
      </w:r>
    </w:p>
    <w:p w14:paraId="3CDEF6AC" w14:textId="484B06D8" w:rsidR="003E0A1D" w:rsidRDefault="003E0A1D" w:rsidP="003E0A1D">
      <w:pPr>
        <w:spacing w:after="0"/>
        <w:ind w:left="360"/>
        <w:contextualSpacing/>
        <w:jc w:val="both"/>
        <w:rPr>
          <w:rFonts w:cs="Times New Roman"/>
          <w:szCs w:val="24"/>
        </w:rPr>
      </w:pPr>
    </w:p>
    <w:p w14:paraId="01525681" w14:textId="5FB963A2" w:rsidR="008F341A" w:rsidRDefault="008F341A" w:rsidP="003E0A1D">
      <w:pPr>
        <w:spacing w:after="0"/>
        <w:ind w:left="360"/>
        <w:contextualSpacing/>
        <w:jc w:val="both"/>
        <w:rPr>
          <w:rFonts w:cs="Times New Roman"/>
          <w:szCs w:val="24"/>
        </w:rPr>
      </w:pPr>
    </w:p>
    <w:p w14:paraId="663030CA" w14:textId="7F0DE239" w:rsidR="008F341A" w:rsidRDefault="008F341A" w:rsidP="003E0A1D">
      <w:pPr>
        <w:spacing w:after="0"/>
        <w:ind w:left="360"/>
        <w:contextualSpacing/>
        <w:jc w:val="both"/>
        <w:rPr>
          <w:rFonts w:cs="Times New Roman"/>
          <w:szCs w:val="24"/>
        </w:rPr>
      </w:pPr>
    </w:p>
    <w:p w14:paraId="52AC8EE1" w14:textId="299330E0" w:rsidR="008F341A" w:rsidRDefault="008F341A" w:rsidP="003E0A1D">
      <w:pPr>
        <w:spacing w:after="0"/>
        <w:ind w:left="360"/>
        <w:contextualSpacing/>
        <w:jc w:val="both"/>
        <w:rPr>
          <w:rFonts w:cs="Times New Roman"/>
          <w:szCs w:val="24"/>
        </w:rPr>
      </w:pPr>
    </w:p>
    <w:p w14:paraId="0EC6D7D8" w14:textId="77777777" w:rsidR="008F341A" w:rsidRPr="003E0A1D" w:rsidRDefault="008F341A" w:rsidP="003E0A1D">
      <w:pPr>
        <w:spacing w:after="0"/>
        <w:ind w:left="360"/>
        <w:contextualSpacing/>
        <w:jc w:val="both"/>
        <w:rPr>
          <w:rFonts w:cs="Times New Roman"/>
          <w:szCs w:val="24"/>
        </w:rPr>
      </w:pPr>
    </w:p>
    <w:p w14:paraId="50A9F40F" w14:textId="2C0002D3" w:rsidR="003E0A1D" w:rsidRPr="003E0A1D" w:rsidRDefault="003E0A1D" w:rsidP="003E0A1D">
      <w:pPr>
        <w:jc w:val="center"/>
        <w:rPr>
          <w:szCs w:val="24"/>
        </w:rPr>
      </w:pPr>
      <w:r w:rsidRPr="003E0A1D">
        <w:rPr>
          <w:b/>
          <w:szCs w:val="24"/>
        </w:rPr>
        <w:t xml:space="preserve">Table </w:t>
      </w:r>
      <w:r w:rsidR="00CA1648">
        <w:rPr>
          <w:b/>
          <w:szCs w:val="24"/>
        </w:rPr>
        <w:t>10</w:t>
      </w:r>
      <w:r w:rsidRPr="003E0A1D">
        <w:rPr>
          <w:b/>
          <w:szCs w:val="24"/>
        </w:rPr>
        <w:t>. Implementation roadmap for the proposed QRIS–MSME policy package</w:t>
      </w:r>
    </w:p>
    <w:tbl>
      <w:tblPr>
        <w:tblStyle w:val="TableGrid2"/>
        <w:tblW w:w="0" w:type="auto"/>
        <w:jc w:val="center"/>
        <w:tblLook w:val="04A0" w:firstRow="1" w:lastRow="0" w:firstColumn="1" w:lastColumn="0" w:noHBand="0" w:noVBand="1"/>
      </w:tblPr>
      <w:tblGrid>
        <w:gridCol w:w="1684"/>
        <w:gridCol w:w="1406"/>
        <w:gridCol w:w="1787"/>
        <w:gridCol w:w="1720"/>
        <w:gridCol w:w="1897"/>
      </w:tblGrid>
      <w:tr w:rsidR="003E0A1D" w:rsidRPr="003E0A1D" w14:paraId="121A38EF" w14:textId="77777777" w:rsidTr="003C609D">
        <w:trPr>
          <w:jc w:val="center"/>
        </w:trPr>
        <w:tc>
          <w:tcPr>
            <w:tcW w:w="2268" w:type="dxa"/>
            <w:shd w:val="clear" w:color="auto" w:fill="D9EAF7"/>
            <w:vAlign w:val="center"/>
          </w:tcPr>
          <w:p w14:paraId="2304B98B" w14:textId="77777777" w:rsidR="003E0A1D" w:rsidRPr="003E0A1D" w:rsidRDefault="003E0A1D" w:rsidP="002E0667">
            <w:pPr>
              <w:spacing w:after="0" w:line="240" w:lineRule="auto"/>
              <w:rPr>
                <w:rFonts w:cs="Times New Roman"/>
                <w:sz w:val="22"/>
              </w:rPr>
            </w:pPr>
            <w:r w:rsidRPr="003E0A1D">
              <w:rPr>
                <w:rFonts w:cs="Times New Roman"/>
                <w:b/>
                <w:sz w:val="22"/>
              </w:rPr>
              <w:t>Priority action</w:t>
            </w:r>
          </w:p>
        </w:tc>
        <w:tc>
          <w:tcPr>
            <w:tcW w:w="1474" w:type="dxa"/>
            <w:shd w:val="clear" w:color="auto" w:fill="D9EAF7"/>
            <w:vAlign w:val="center"/>
          </w:tcPr>
          <w:p w14:paraId="074ED806" w14:textId="77777777" w:rsidR="003E0A1D" w:rsidRPr="003E0A1D" w:rsidRDefault="003E0A1D" w:rsidP="002E0667">
            <w:pPr>
              <w:spacing w:after="0" w:line="240" w:lineRule="auto"/>
              <w:rPr>
                <w:rFonts w:cs="Times New Roman"/>
                <w:sz w:val="22"/>
              </w:rPr>
            </w:pPr>
            <w:r w:rsidRPr="003E0A1D">
              <w:rPr>
                <w:rFonts w:cs="Times New Roman"/>
                <w:b/>
                <w:sz w:val="22"/>
              </w:rPr>
              <w:t>Lead institution</w:t>
            </w:r>
          </w:p>
        </w:tc>
        <w:tc>
          <w:tcPr>
            <w:tcW w:w="2381" w:type="dxa"/>
            <w:shd w:val="clear" w:color="auto" w:fill="D9EAF7"/>
            <w:vAlign w:val="center"/>
          </w:tcPr>
          <w:p w14:paraId="76C21F70" w14:textId="77777777" w:rsidR="003E0A1D" w:rsidRPr="003E0A1D" w:rsidRDefault="003E0A1D" w:rsidP="002E0667">
            <w:pPr>
              <w:spacing w:after="0" w:line="240" w:lineRule="auto"/>
              <w:rPr>
                <w:rFonts w:cs="Times New Roman"/>
                <w:sz w:val="22"/>
              </w:rPr>
            </w:pPr>
            <w:r w:rsidRPr="003E0A1D">
              <w:rPr>
                <w:rFonts w:cs="Times New Roman"/>
                <w:b/>
                <w:sz w:val="22"/>
              </w:rPr>
              <w:t>Supporting institutions</w:t>
            </w:r>
          </w:p>
        </w:tc>
        <w:tc>
          <w:tcPr>
            <w:tcW w:w="1587" w:type="dxa"/>
            <w:shd w:val="clear" w:color="auto" w:fill="D9EAF7"/>
            <w:vAlign w:val="center"/>
          </w:tcPr>
          <w:p w14:paraId="103D13E9" w14:textId="77777777" w:rsidR="003E0A1D" w:rsidRPr="003E0A1D" w:rsidRDefault="003E0A1D" w:rsidP="002E0667">
            <w:pPr>
              <w:spacing w:after="0" w:line="240" w:lineRule="auto"/>
              <w:rPr>
                <w:rFonts w:cs="Times New Roman"/>
                <w:sz w:val="22"/>
              </w:rPr>
            </w:pPr>
            <w:r w:rsidRPr="003E0A1D">
              <w:rPr>
                <w:rFonts w:cs="Times New Roman"/>
                <w:b/>
                <w:sz w:val="22"/>
              </w:rPr>
              <w:t>Implementation horizon</w:t>
            </w:r>
          </w:p>
        </w:tc>
        <w:tc>
          <w:tcPr>
            <w:tcW w:w="2608" w:type="dxa"/>
            <w:shd w:val="clear" w:color="auto" w:fill="D9EAF7"/>
            <w:vAlign w:val="center"/>
          </w:tcPr>
          <w:p w14:paraId="12318DD1" w14:textId="77777777" w:rsidR="003E0A1D" w:rsidRPr="003E0A1D" w:rsidRDefault="003E0A1D" w:rsidP="002E0667">
            <w:pPr>
              <w:spacing w:after="0" w:line="240" w:lineRule="auto"/>
              <w:rPr>
                <w:rFonts w:cs="Times New Roman"/>
                <w:sz w:val="22"/>
              </w:rPr>
            </w:pPr>
            <w:r w:rsidRPr="003E0A1D">
              <w:rPr>
                <w:rFonts w:cs="Times New Roman"/>
                <w:b/>
                <w:sz w:val="22"/>
              </w:rPr>
              <w:t>Core success indicators</w:t>
            </w:r>
          </w:p>
        </w:tc>
      </w:tr>
      <w:tr w:rsidR="003E0A1D" w:rsidRPr="003E0A1D" w14:paraId="29AF0508" w14:textId="77777777" w:rsidTr="003C609D">
        <w:trPr>
          <w:jc w:val="center"/>
        </w:trPr>
        <w:tc>
          <w:tcPr>
            <w:tcW w:w="2268" w:type="dxa"/>
          </w:tcPr>
          <w:p w14:paraId="1306F089" w14:textId="77777777" w:rsidR="003E0A1D" w:rsidRPr="003E0A1D" w:rsidRDefault="003E0A1D" w:rsidP="002E0667">
            <w:pPr>
              <w:spacing w:after="0" w:line="240" w:lineRule="auto"/>
              <w:rPr>
                <w:rFonts w:cs="Times New Roman"/>
                <w:sz w:val="22"/>
              </w:rPr>
            </w:pPr>
            <w:r w:rsidRPr="003E0A1D">
              <w:rPr>
                <w:rFonts w:cs="Times New Roman"/>
                <w:sz w:val="22"/>
              </w:rPr>
              <w:t>Inclusion-quality dashboard</w:t>
            </w:r>
          </w:p>
        </w:tc>
        <w:tc>
          <w:tcPr>
            <w:tcW w:w="1474" w:type="dxa"/>
          </w:tcPr>
          <w:p w14:paraId="0C4664BB" w14:textId="77777777" w:rsidR="003E0A1D" w:rsidRPr="003E0A1D" w:rsidRDefault="003E0A1D" w:rsidP="002E0667">
            <w:pPr>
              <w:spacing w:after="0" w:line="240" w:lineRule="auto"/>
              <w:rPr>
                <w:rFonts w:cs="Times New Roman"/>
                <w:sz w:val="22"/>
              </w:rPr>
            </w:pPr>
            <w:r w:rsidRPr="003E0A1D">
              <w:rPr>
                <w:rFonts w:cs="Times New Roman"/>
                <w:sz w:val="22"/>
              </w:rPr>
              <w:t>Bank Indonesia</w:t>
            </w:r>
          </w:p>
        </w:tc>
        <w:tc>
          <w:tcPr>
            <w:tcW w:w="2381" w:type="dxa"/>
          </w:tcPr>
          <w:p w14:paraId="03930CD0" w14:textId="77777777" w:rsidR="003E0A1D" w:rsidRPr="003E0A1D" w:rsidRDefault="003E0A1D" w:rsidP="002E0667">
            <w:pPr>
              <w:spacing w:after="0" w:line="240" w:lineRule="auto"/>
              <w:rPr>
                <w:rFonts w:cs="Times New Roman"/>
                <w:sz w:val="22"/>
              </w:rPr>
            </w:pPr>
            <w:r w:rsidRPr="003E0A1D">
              <w:rPr>
                <w:rFonts w:cs="Times New Roman"/>
                <w:sz w:val="22"/>
              </w:rPr>
              <w:t>OJK, ASPI, providers, MSME agencies</w:t>
            </w:r>
          </w:p>
        </w:tc>
        <w:tc>
          <w:tcPr>
            <w:tcW w:w="1587" w:type="dxa"/>
          </w:tcPr>
          <w:p w14:paraId="3B5F47DA" w14:textId="77777777" w:rsidR="003E0A1D" w:rsidRPr="003E0A1D" w:rsidRDefault="003E0A1D" w:rsidP="002E0667">
            <w:pPr>
              <w:spacing w:after="0" w:line="240" w:lineRule="auto"/>
              <w:rPr>
                <w:rFonts w:cs="Times New Roman"/>
                <w:sz w:val="22"/>
              </w:rPr>
            </w:pPr>
            <w:r w:rsidRPr="003E0A1D">
              <w:rPr>
                <w:rFonts w:cs="Times New Roman"/>
                <w:sz w:val="22"/>
              </w:rPr>
              <w:t>Immediate (0–12 months)</w:t>
            </w:r>
          </w:p>
        </w:tc>
        <w:tc>
          <w:tcPr>
            <w:tcW w:w="2608" w:type="dxa"/>
          </w:tcPr>
          <w:p w14:paraId="51544A30" w14:textId="77777777" w:rsidR="003E0A1D" w:rsidRPr="003E0A1D" w:rsidRDefault="003E0A1D" w:rsidP="002E0667">
            <w:pPr>
              <w:spacing w:after="0" w:line="240" w:lineRule="auto"/>
              <w:rPr>
                <w:rFonts w:cs="Times New Roman"/>
                <w:sz w:val="22"/>
              </w:rPr>
            </w:pPr>
            <w:r w:rsidRPr="003E0A1D">
              <w:rPr>
                <w:rFonts w:cs="Times New Roman"/>
                <w:sz w:val="22"/>
              </w:rPr>
              <w:t>Active-merchant ratio; transaction frequency; settlement failure; complaint resolution</w:t>
            </w:r>
          </w:p>
        </w:tc>
      </w:tr>
      <w:tr w:rsidR="003E0A1D" w:rsidRPr="003E0A1D" w14:paraId="2146D525" w14:textId="77777777" w:rsidTr="003C609D">
        <w:trPr>
          <w:jc w:val="center"/>
        </w:trPr>
        <w:tc>
          <w:tcPr>
            <w:tcW w:w="2268" w:type="dxa"/>
          </w:tcPr>
          <w:p w14:paraId="3A60C578" w14:textId="77777777" w:rsidR="003E0A1D" w:rsidRPr="003E0A1D" w:rsidRDefault="003E0A1D" w:rsidP="002E0667">
            <w:pPr>
              <w:spacing w:after="0" w:line="240" w:lineRule="auto"/>
              <w:rPr>
                <w:rFonts w:cs="Times New Roman"/>
                <w:sz w:val="22"/>
              </w:rPr>
            </w:pPr>
            <w:r w:rsidRPr="003E0A1D">
              <w:rPr>
                <w:rFonts w:cs="Times New Roman"/>
                <w:sz w:val="22"/>
              </w:rPr>
              <w:t>Financial-management and credit-readiness program</w:t>
            </w:r>
          </w:p>
        </w:tc>
        <w:tc>
          <w:tcPr>
            <w:tcW w:w="1474" w:type="dxa"/>
          </w:tcPr>
          <w:p w14:paraId="2D8463F6" w14:textId="77777777" w:rsidR="003E0A1D" w:rsidRPr="003E0A1D" w:rsidRDefault="003E0A1D" w:rsidP="002E0667">
            <w:pPr>
              <w:spacing w:after="0" w:line="240" w:lineRule="auto"/>
              <w:rPr>
                <w:rFonts w:cs="Times New Roman"/>
                <w:sz w:val="22"/>
              </w:rPr>
            </w:pPr>
            <w:r w:rsidRPr="003E0A1D">
              <w:rPr>
                <w:rFonts w:cs="Times New Roman"/>
                <w:sz w:val="22"/>
              </w:rPr>
              <w:t>OJK</w:t>
            </w:r>
          </w:p>
        </w:tc>
        <w:tc>
          <w:tcPr>
            <w:tcW w:w="2381" w:type="dxa"/>
          </w:tcPr>
          <w:p w14:paraId="4AFBA643" w14:textId="77777777" w:rsidR="003E0A1D" w:rsidRPr="003E0A1D" w:rsidRDefault="003E0A1D" w:rsidP="002E0667">
            <w:pPr>
              <w:spacing w:after="0" w:line="240" w:lineRule="auto"/>
              <w:rPr>
                <w:rFonts w:cs="Times New Roman"/>
                <w:sz w:val="22"/>
              </w:rPr>
            </w:pPr>
            <w:r w:rsidRPr="003E0A1D">
              <w:rPr>
                <w:rFonts w:cs="Times New Roman"/>
                <w:sz w:val="22"/>
              </w:rPr>
              <w:t>BI, banks, fintech, local governments</w:t>
            </w:r>
          </w:p>
        </w:tc>
        <w:tc>
          <w:tcPr>
            <w:tcW w:w="1587" w:type="dxa"/>
          </w:tcPr>
          <w:p w14:paraId="332646A3" w14:textId="77777777" w:rsidR="003E0A1D" w:rsidRPr="003E0A1D" w:rsidRDefault="003E0A1D" w:rsidP="002E0667">
            <w:pPr>
              <w:spacing w:after="0" w:line="240" w:lineRule="auto"/>
              <w:rPr>
                <w:rFonts w:cs="Times New Roman"/>
                <w:sz w:val="22"/>
              </w:rPr>
            </w:pPr>
            <w:r w:rsidRPr="003E0A1D">
              <w:rPr>
                <w:rFonts w:cs="Times New Roman"/>
                <w:sz w:val="22"/>
              </w:rPr>
              <w:t>Medium term (6–24 months)</w:t>
            </w:r>
          </w:p>
        </w:tc>
        <w:tc>
          <w:tcPr>
            <w:tcW w:w="2608" w:type="dxa"/>
          </w:tcPr>
          <w:p w14:paraId="5E709D13" w14:textId="77777777" w:rsidR="003E0A1D" w:rsidRPr="003E0A1D" w:rsidRDefault="003E0A1D" w:rsidP="002E0667">
            <w:pPr>
              <w:spacing w:after="0" w:line="240" w:lineRule="auto"/>
              <w:rPr>
                <w:rFonts w:cs="Times New Roman"/>
                <w:sz w:val="22"/>
              </w:rPr>
            </w:pPr>
            <w:r w:rsidRPr="003E0A1D">
              <w:rPr>
                <w:rFonts w:cs="Times New Roman"/>
                <w:sz w:val="22"/>
              </w:rPr>
              <w:t>Bookkeeping adoption; separate accounts; application quality; repayment performance</w:t>
            </w:r>
          </w:p>
        </w:tc>
      </w:tr>
      <w:tr w:rsidR="003E0A1D" w:rsidRPr="003E0A1D" w14:paraId="40BC9C0D" w14:textId="77777777" w:rsidTr="003C609D">
        <w:trPr>
          <w:jc w:val="center"/>
        </w:trPr>
        <w:tc>
          <w:tcPr>
            <w:tcW w:w="2268" w:type="dxa"/>
          </w:tcPr>
          <w:p w14:paraId="356BADDB" w14:textId="77777777" w:rsidR="003E0A1D" w:rsidRPr="003E0A1D" w:rsidRDefault="003E0A1D" w:rsidP="002E0667">
            <w:pPr>
              <w:spacing w:after="0" w:line="240" w:lineRule="auto"/>
              <w:rPr>
                <w:rFonts w:cs="Times New Roman"/>
                <w:sz w:val="22"/>
              </w:rPr>
            </w:pPr>
            <w:r w:rsidRPr="003E0A1D">
              <w:rPr>
                <w:rFonts w:cs="Times New Roman"/>
                <w:sz w:val="22"/>
              </w:rPr>
              <w:t>Consent-based data portability</w:t>
            </w:r>
          </w:p>
        </w:tc>
        <w:tc>
          <w:tcPr>
            <w:tcW w:w="1474" w:type="dxa"/>
          </w:tcPr>
          <w:p w14:paraId="7EF973FC" w14:textId="77777777" w:rsidR="003E0A1D" w:rsidRPr="003E0A1D" w:rsidRDefault="003E0A1D" w:rsidP="002E0667">
            <w:pPr>
              <w:spacing w:after="0" w:line="240" w:lineRule="auto"/>
              <w:rPr>
                <w:rFonts w:cs="Times New Roman"/>
                <w:sz w:val="22"/>
              </w:rPr>
            </w:pPr>
            <w:r w:rsidRPr="003E0A1D">
              <w:rPr>
                <w:rFonts w:cs="Times New Roman"/>
                <w:sz w:val="22"/>
              </w:rPr>
              <w:t>BI and OJK</w:t>
            </w:r>
          </w:p>
        </w:tc>
        <w:tc>
          <w:tcPr>
            <w:tcW w:w="2381" w:type="dxa"/>
          </w:tcPr>
          <w:p w14:paraId="42E38B0D" w14:textId="77777777" w:rsidR="003E0A1D" w:rsidRPr="003E0A1D" w:rsidRDefault="003E0A1D" w:rsidP="002E0667">
            <w:pPr>
              <w:spacing w:after="0" w:line="240" w:lineRule="auto"/>
              <w:rPr>
                <w:rFonts w:cs="Times New Roman"/>
                <w:sz w:val="22"/>
              </w:rPr>
            </w:pPr>
            <w:r w:rsidRPr="003E0A1D">
              <w:rPr>
                <w:rFonts w:cs="Times New Roman"/>
                <w:sz w:val="22"/>
              </w:rPr>
              <w:t>Providers, banks, fintech, data-protection authorities</w:t>
            </w:r>
          </w:p>
        </w:tc>
        <w:tc>
          <w:tcPr>
            <w:tcW w:w="1587" w:type="dxa"/>
          </w:tcPr>
          <w:p w14:paraId="2E5A38FB" w14:textId="77777777" w:rsidR="003E0A1D" w:rsidRPr="003E0A1D" w:rsidRDefault="003E0A1D" w:rsidP="002E0667">
            <w:pPr>
              <w:spacing w:after="0" w:line="240" w:lineRule="auto"/>
              <w:rPr>
                <w:rFonts w:cs="Times New Roman"/>
                <w:sz w:val="22"/>
              </w:rPr>
            </w:pPr>
            <w:r w:rsidRPr="003E0A1D">
              <w:rPr>
                <w:rFonts w:cs="Times New Roman"/>
                <w:sz w:val="22"/>
              </w:rPr>
              <w:t>Medium to long term (12–36 months)</w:t>
            </w:r>
          </w:p>
        </w:tc>
        <w:tc>
          <w:tcPr>
            <w:tcW w:w="2608" w:type="dxa"/>
          </w:tcPr>
          <w:p w14:paraId="5648C50E" w14:textId="77777777" w:rsidR="003E0A1D" w:rsidRPr="003E0A1D" w:rsidRDefault="003E0A1D" w:rsidP="002E0667">
            <w:pPr>
              <w:spacing w:after="0" w:line="240" w:lineRule="auto"/>
              <w:rPr>
                <w:rFonts w:cs="Times New Roman"/>
                <w:sz w:val="22"/>
              </w:rPr>
            </w:pPr>
            <w:r w:rsidRPr="003E0A1D">
              <w:rPr>
                <w:rFonts w:cs="Times New Roman"/>
                <w:sz w:val="22"/>
              </w:rPr>
              <w:t>Valid consent; revocation; correction requests; privacy incidents; assessment time</w:t>
            </w:r>
          </w:p>
        </w:tc>
      </w:tr>
      <w:tr w:rsidR="003E0A1D" w:rsidRPr="003E0A1D" w14:paraId="5FA72C20" w14:textId="77777777" w:rsidTr="003C609D">
        <w:trPr>
          <w:jc w:val="center"/>
        </w:trPr>
        <w:tc>
          <w:tcPr>
            <w:tcW w:w="2268" w:type="dxa"/>
          </w:tcPr>
          <w:p w14:paraId="1EBB8321" w14:textId="77777777" w:rsidR="003E0A1D" w:rsidRPr="003E0A1D" w:rsidRDefault="003E0A1D" w:rsidP="002E0667">
            <w:pPr>
              <w:spacing w:after="0" w:line="240" w:lineRule="auto"/>
              <w:rPr>
                <w:rFonts w:cs="Times New Roman"/>
                <w:sz w:val="22"/>
              </w:rPr>
            </w:pPr>
            <w:r w:rsidRPr="003E0A1D">
              <w:rPr>
                <w:rFonts w:cs="Times New Roman"/>
                <w:sz w:val="22"/>
              </w:rPr>
              <w:t>Tier-based provincial delivery</w:t>
            </w:r>
          </w:p>
        </w:tc>
        <w:tc>
          <w:tcPr>
            <w:tcW w:w="1474" w:type="dxa"/>
          </w:tcPr>
          <w:p w14:paraId="1AA24BC1" w14:textId="77777777" w:rsidR="003E0A1D" w:rsidRPr="003E0A1D" w:rsidRDefault="003E0A1D" w:rsidP="002E0667">
            <w:pPr>
              <w:spacing w:after="0" w:line="240" w:lineRule="auto"/>
              <w:rPr>
                <w:rFonts w:cs="Times New Roman"/>
                <w:sz w:val="22"/>
              </w:rPr>
            </w:pPr>
            <w:r w:rsidRPr="003E0A1D">
              <w:rPr>
                <w:rFonts w:cs="Times New Roman"/>
                <w:sz w:val="22"/>
              </w:rPr>
              <w:t>BI/OJK regional offices</w:t>
            </w:r>
          </w:p>
        </w:tc>
        <w:tc>
          <w:tcPr>
            <w:tcW w:w="2381" w:type="dxa"/>
          </w:tcPr>
          <w:p w14:paraId="5F40D885" w14:textId="77777777" w:rsidR="003E0A1D" w:rsidRPr="003E0A1D" w:rsidRDefault="003E0A1D" w:rsidP="002E0667">
            <w:pPr>
              <w:spacing w:after="0" w:line="240" w:lineRule="auto"/>
              <w:rPr>
                <w:rFonts w:cs="Times New Roman"/>
                <w:sz w:val="22"/>
              </w:rPr>
            </w:pPr>
            <w:r w:rsidRPr="003E0A1D">
              <w:rPr>
                <w:rFonts w:cs="Times New Roman"/>
                <w:sz w:val="22"/>
              </w:rPr>
              <w:t>Provincial governments, MSME agencies, providers</w:t>
            </w:r>
          </w:p>
        </w:tc>
        <w:tc>
          <w:tcPr>
            <w:tcW w:w="1587" w:type="dxa"/>
          </w:tcPr>
          <w:p w14:paraId="55BF4300" w14:textId="77777777" w:rsidR="003E0A1D" w:rsidRPr="003E0A1D" w:rsidRDefault="003E0A1D" w:rsidP="002E0667">
            <w:pPr>
              <w:spacing w:after="0" w:line="240" w:lineRule="auto"/>
              <w:rPr>
                <w:rFonts w:cs="Times New Roman"/>
                <w:sz w:val="22"/>
              </w:rPr>
            </w:pPr>
            <w:r w:rsidRPr="003E0A1D">
              <w:rPr>
                <w:rFonts w:cs="Times New Roman"/>
                <w:sz w:val="22"/>
              </w:rPr>
              <w:t>Immediate and continuous</w:t>
            </w:r>
          </w:p>
        </w:tc>
        <w:tc>
          <w:tcPr>
            <w:tcW w:w="2608" w:type="dxa"/>
          </w:tcPr>
          <w:p w14:paraId="257A4B4A" w14:textId="77777777" w:rsidR="003E0A1D" w:rsidRPr="003E0A1D" w:rsidRDefault="003E0A1D" w:rsidP="002E0667">
            <w:pPr>
              <w:spacing w:after="0" w:line="240" w:lineRule="auto"/>
              <w:rPr>
                <w:rFonts w:cs="Times New Roman"/>
                <w:sz w:val="22"/>
              </w:rPr>
            </w:pPr>
            <w:r w:rsidRPr="003E0A1D">
              <w:rPr>
                <w:rFonts w:cs="Times New Roman"/>
                <w:sz w:val="22"/>
              </w:rPr>
              <w:t>Active-use growth by tier; rural participation; merchant retention</w:t>
            </w:r>
          </w:p>
        </w:tc>
      </w:tr>
      <w:tr w:rsidR="003E0A1D" w:rsidRPr="003E0A1D" w14:paraId="7D25F9E5" w14:textId="77777777" w:rsidTr="003C609D">
        <w:trPr>
          <w:jc w:val="center"/>
        </w:trPr>
        <w:tc>
          <w:tcPr>
            <w:tcW w:w="2268" w:type="dxa"/>
          </w:tcPr>
          <w:p w14:paraId="2B54A417" w14:textId="77777777" w:rsidR="003E0A1D" w:rsidRPr="003E0A1D" w:rsidRDefault="003E0A1D" w:rsidP="002E0667">
            <w:pPr>
              <w:spacing w:after="0" w:line="240" w:lineRule="auto"/>
              <w:rPr>
                <w:rFonts w:cs="Times New Roman"/>
                <w:sz w:val="22"/>
              </w:rPr>
            </w:pPr>
            <w:r w:rsidRPr="003E0A1D">
              <w:rPr>
                <w:rFonts w:cs="Times New Roman"/>
                <w:sz w:val="22"/>
              </w:rPr>
              <w:t>Merchant protection standards</w:t>
            </w:r>
          </w:p>
        </w:tc>
        <w:tc>
          <w:tcPr>
            <w:tcW w:w="1474" w:type="dxa"/>
          </w:tcPr>
          <w:p w14:paraId="6927BF60" w14:textId="77777777" w:rsidR="003E0A1D" w:rsidRPr="003E0A1D" w:rsidRDefault="003E0A1D" w:rsidP="002E0667">
            <w:pPr>
              <w:spacing w:after="0" w:line="240" w:lineRule="auto"/>
              <w:rPr>
                <w:rFonts w:cs="Times New Roman"/>
                <w:sz w:val="22"/>
              </w:rPr>
            </w:pPr>
            <w:r w:rsidRPr="003E0A1D">
              <w:rPr>
                <w:rFonts w:cs="Times New Roman"/>
                <w:sz w:val="22"/>
              </w:rPr>
              <w:t>BI and OJK</w:t>
            </w:r>
          </w:p>
        </w:tc>
        <w:tc>
          <w:tcPr>
            <w:tcW w:w="2381" w:type="dxa"/>
          </w:tcPr>
          <w:p w14:paraId="34E5A87B" w14:textId="77777777" w:rsidR="003E0A1D" w:rsidRPr="003E0A1D" w:rsidRDefault="003E0A1D" w:rsidP="002E0667">
            <w:pPr>
              <w:spacing w:after="0" w:line="240" w:lineRule="auto"/>
              <w:rPr>
                <w:rFonts w:cs="Times New Roman"/>
                <w:sz w:val="22"/>
              </w:rPr>
            </w:pPr>
            <w:r w:rsidRPr="003E0A1D">
              <w:rPr>
                <w:rFonts w:cs="Times New Roman"/>
                <w:sz w:val="22"/>
              </w:rPr>
              <w:t>Providers, banks, consumer-protection bodies</w:t>
            </w:r>
          </w:p>
        </w:tc>
        <w:tc>
          <w:tcPr>
            <w:tcW w:w="1587" w:type="dxa"/>
          </w:tcPr>
          <w:p w14:paraId="697D5205" w14:textId="77777777" w:rsidR="003E0A1D" w:rsidRPr="003E0A1D" w:rsidRDefault="003E0A1D" w:rsidP="002E0667">
            <w:pPr>
              <w:spacing w:after="0" w:line="240" w:lineRule="auto"/>
              <w:rPr>
                <w:rFonts w:cs="Times New Roman"/>
                <w:sz w:val="22"/>
              </w:rPr>
            </w:pPr>
            <w:r w:rsidRPr="003E0A1D">
              <w:rPr>
                <w:rFonts w:cs="Times New Roman"/>
                <w:sz w:val="22"/>
              </w:rPr>
              <w:t>Immediate (0–12 months)</w:t>
            </w:r>
          </w:p>
        </w:tc>
        <w:tc>
          <w:tcPr>
            <w:tcW w:w="2608" w:type="dxa"/>
          </w:tcPr>
          <w:p w14:paraId="07C073C5" w14:textId="77777777" w:rsidR="003E0A1D" w:rsidRPr="003E0A1D" w:rsidRDefault="003E0A1D" w:rsidP="002E0667">
            <w:pPr>
              <w:spacing w:after="0" w:line="240" w:lineRule="auto"/>
              <w:rPr>
                <w:rFonts w:cs="Times New Roman"/>
                <w:sz w:val="22"/>
              </w:rPr>
            </w:pPr>
            <w:r w:rsidRPr="003E0A1D">
              <w:rPr>
                <w:rFonts w:cs="Times New Roman"/>
                <w:sz w:val="22"/>
              </w:rPr>
              <w:t>Complaint incidence; resolution time; fraud recovery; merchant awareness</w:t>
            </w:r>
          </w:p>
        </w:tc>
      </w:tr>
      <w:tr w:rsidR="003E0A1D" w:rsidRPr="003E0A1D" w14:paraId="21A64C87" w14:textId="77777777" w:rsidTr="003C609D">
        <w:trPr>
          <w:jc w:val="center"/>
        </w:trPr>
        <w:tc>
          <w:tcPr>
            <w:tcW w:w="2268" w:type="dxa"/>
          </w:tcPr>
          <w:p w14:paraId="34F0C246" w14:textId="77777777" w:rsidR="003E0A1D" w:rsidRPr="003E0A1D" w:rsidRDefault="003E0A1D" w:rsidP="002E0667">
            <w:pPr>
              <w:spacing w:after="0" w:line="240" w:lineRule="auto"/>
              <w:rPr>
                <w:rFonts w:cs="Times New Roman"/>
                <w:sz w:val="22"/>
              </w:rPr>
            </w:pPr>
            <w:r w:rsidRPr="003E0A1D">
              <w:rPr>
                <w:rFonts w:cs="Times New Roman"/>
                <w:sz w:val="22"/>
              </w:rPr>
              <w:t>Supervised credit-scoring sandbox</w:t>
            </w:r>
          </w:p>
        </w:tc>
        <w:tc>
          <w:tcPr>
            <w:tcW w:w="1474" w:type="dxa"/>
          </w:tcPr>
          <w:p w14:paraId="1359C97B" w14:textId="77777777" w:rsidR="003E0A1D" w:rsidRPr="003E0A1D" w:rsidRDefault="003E0A1D" w:rsidP="002E0667">
            <w:pPr>
              <w:spacing w:after="0" w:line="240" w:lineRule="auto"/>
              <w:rPr>
                <w:rFonts w:cs="Times New Roman"/>
                <w:sz w:val="22"/>
              </w:rPr>
            </w:pPr>
            <w:r w:rsidRPr="003E0A1D">
              <w:rPr>
                <w:rFonts w:cs="Times New Roman"/>
                <w:sz w:val="22"/>
              </w:rPr>
              <w:t>OJK</w:t>
            </w:r>
          </w:p>
        </w:tc>
        <w:tc>
          <w:tcPr>
            <w:tcW w:w="2381" w:type="dxa"/>
          </w:tcPr>
          <w:p w14:paraId="7693232F" w14:textId="77777777" w:rsidR="003E0A1D" w:rsidRPr="003E0A1D" w:rsidRDefault="003E0A1D" w:rsidP="002E0667">
            <w:pPr>
              <w:spacing w:after="0" w:line="240" w:lineRule="auto"/>
              <w:rPr>
                <w:rFonts w:cs="Times New Roman"/>
                <w:sz w:val="22"/>
              </w:rPr>
            </w:pPr>
            <w:r w:rsidRPr="003E0A1D">
              <w:rPr>
                <w:rFonts w:cs="Times New Roman"/>
                <w:sz w:val="22"/>
              </w:rPr>
              <w:t>BI, banks, fintech, providers, MSME representatives</w:t>
            </w:r>
          </w:p>
        </w:tc>
        <w:tc>
          <w:tcPr>
            <w:tcW w:w="1587" w:type="dxa"/>
          </w:tcPr>
          <w:p w14:paraId="05B9C86D" w14:textId="77777777" w:rsidR="003E0A1D" w:rsidRPr="003E0A1D" w:rsidRDefault="003E0A1D" w:rsidP="002E0667">
            <w:pPr>
              <w:spacing w:after="0" w:line="240" w:lineRule="auto"/>
              <w:rPr>
                <w:rFonts w:cs="Times New Roman"/>
                <w:sz w:val="22"/>
              </w:rPr>
            </w:pPr>
            <w:r w:rsidRPr="003E0A1D">
              <w:rPr>
                <w:rFonts w:cs="Times New Roman"/>
                <w:sz w:val="22"/>
              </w:rPr>
              <w:t>Pilot (12–24 months)</w:t>
            </w:r>
          </w:p>
        </w:tc>
        <w:tc>
          <w:tcPr>
            <w:tcW w:w="2608" w:type="dxa"/>
          </w:tcPr>
          <w:p w14:paraId="434AA4EF" w14:textId="77777777" w:rsidR="003E0A1D" w:rsidRPr="003E0A1D" w:rsidRDefault="003E0A1D" w:rsidP="002E0667">
            <w:pPr>
              <w:spacing w:after="0" w:line="240" w:lineRule="auto"/>
              <w:rPr>
                <w:rFonts w:cs="Times New Roman"/>
                <w:sz w:val="22"/>
              </w:rPr>
            </w:pPr>
            <w:r w:rsidRPr="003E0A1D">
              <w:rPr>
                <w:rFonts w:cs="Times New Roman"/>
                <w:sz w:val="22"/>
              </w:rPr>
              <w:t>Approval quality; pricing; default; bias; complaints; business outcomes</w:t>
            </w:r>
          </w:p>
        </w:tc>
      </w:tr>
      <w:tr w:rsidR="003E0A1D" w:rsidRPr="003E0A1D" w14:paraId="004A236D" w14:textId="77777777" w:rsidTr="003C609D">
        <w:trPr>
          <w:jc w:val="center"/>
        </w:trPr>
        <w:tc>
          <w:tcPr>
            <w:tcW w:w="2268" w:type="dxa"/>
          </w:tcPr>
          <w:p w14:paraId="03D29982" w14:textId="77777777" w:rsidR="003E0A1D" w:rsidRPr="003E0A1D" w:rsidRDefault="003E0A1D" w:rsidP="002E0667">
            <w:pPr>
              <w:spacing w:after="0" w:line="240" w:lineRule="auto"/>
              <w:rPr>
                <w:rFonts w:cs="Times New Roman"/>
                <w:sz w:val="22"/>
              </w:rPr>
            </w:pPr>
            <w:r w:rsidRPr="003E0A1D">
              <w:rPr>
                <w:rFonts w:cs="Times New Roman"/>
                <w:sz w:val="22"/>
              </w:rPr>
              <w:t>Distributional public statistics</w:t>
            </w:r>
          </w:p>
        </w:tc>
        <w:tc>
          <w:tcPr>
            <w:tcW w:w="1474" w:type="dxa"/>
          </w:tcPr>
          <w:p w14:paraId="4157C820" w14:textId="77777777" w:rsidR="003E0A1D" w:rsidRPr="003E0A1D" w:rsidRDefault="003E0A1D" w:rsidP="002E0667">
            <w:pPr>
              <w:spacing w:after="0" w:line="240" w:lineRule="auto"/>
              <w:rPr>
                <w:rFonts w:cs="Times New Roman"/>
                <w:sz w:val="22"/>
              </w:rPr>
            </w:pPr>
            <w:r w:rsidRPr="003E0A1D">
              <w:rPr>
                <w:rFonts w:cs="Times New Roman"/>
                <w:sz w:val="22"/>
              </w:rPr>
              <w:t>BI and ASPI</w:t>
            </w:r>
          </w:p>
        </w:tc>
        <w:tc>
          <w:tcPr>
            <w:tcW w:w="2381" w:type="dxa"/>
          </w:tcPr>
          <w:p w14:paraId="5FA53A6E" w14:textId="77777777" w:rsidR="003E0A1D" w:rsidRPr="003E0A1D" w:rsidRDefault="003E0A1D" w:rsidP="002E0667">
            <w:pPr>
              <w:spacing w:after="0" w:line="240" w:lineRule="auto"/>
              <w:rPr>
                <w:rFonts w:cs="Times New Roman"/>
                <w:sz w:val="22"/>
              </w:rPr>
            </w:pPr>
            <w:r w:rsidRPr="003E0A1D">
              <w:rPr>
                <w:rFonts w:cs="Times New Roman"/>
                <w:sz w:val="22"/>
              </w:rPr>
              <w:t>OJK, BPS, providers</w:t>
            </w:r>
          </w:p>
        </w:tc>
        <w:tc>
          <w:tcPr>
            <w:tcW w:w="1587" w:type="dxa"/>
          </w:tcPr>
          <w:p w14:paraId="60BF80C0" w14:textId="77777777" w:rsidR="003E0A1D" w:rsidRPr="003E0A1D" w:rsidRDefault="003E0A1D" w:rsidP="002E0667">
            <w:pPr>
              <w:spacing w:after="0" w:line="240" w:lineRule="auto"/>
              <w:rPr>
                <w:rFonts w:cs="Times New Roman"/>
                <w:sz w:val="22"/>
              </w:rPr>
            </w:pPr>
            <w:r w:rsidRPr="003E0A1D">
              <w:rPr>
                <w:rFonts w:cs="Times New Roman"/>
                <w:sz w:val="22"/>
              </w:rPr>
              <w:t>Immediate and recurring</w:t>
            </w:r>
          </w:p>
        </w:tc>
        <w:tc>
          <w:tcPr>
            <w:tcW w:w="2608" w:type="dxa"/>
          </w:tcPr>
          <w:p w14:paraId="2DBB2A15" w14:textId="77777777" w:rsidR="003E0A1D" w:rsidRPr="003E0A1D" w:rsidRDefault="003E0A1D" w:rsidP="002E0667">
            <w:pPr>
              <w:spacing w:after="0" w:line="240" w:lineRule="auto"/>
              <w:rPr>
                <w:rFonts w:cs="Times New Roman"/>
                <w:sz w:val="22"/>
              </w:rPr>
            </w:pPr>
            <w:r w:rsidRPr="003E0A1D">
              <w:rPr>
                <w:rFonts w:cs="Times New Roman"/>
                <w:sz w:val="22"/>
              </w:rPr>
              <w:t>Active/dormant split; medians; provincial and sector distributions</w:t>
            </w:r>
          </w:p>
        </w:tc>
      </w:tr>
      <w:tr w:rsidR="003E0A1D" w:rsidRPr="003E0A1D" w14:paraId="595815F5" w14:textId="77777777" w:rsidTr="003C609D">
        <w:trPr>
          <w:jc w:val="center"/>
        </w:trPr>
        <w:tc>
          <w:tcPr>
            <w:tcW w:w="2268" w:type="dxa"/>
          </w:tcPr>
          <w:p w14:paraId="373DBE20" w14:textId="77777777" w:rsidR="003E0A1D" w:rsidRPr="003E0A1D" w:rsidRDefault="003E0A1D" w:rsidP="002E0667">
            <w:pPr>
              <w:spacing w:after="0" w:line="240" w:lineRule="auto"/>
              <w:rPr>
                <w:rFonts w:cs="Times New Roman"/>
                <w:sz w:val="22"/>
              </w:rPr>
            </w:pPr>
            <w:r w:rsidRPr="003E0A1D">
              <w:rPr>
                <w:rFonts w:cs="Times New Roman"/>
                <w:sz w:val="22"/>
              </w:rPr>
              <w:t>MSME scalability evaluation</w:t>
            </w:r>
          </w:p>
        </w:tc>
        <w:tc>
          <w:tcPr>
            <w:tcW w:w="1474" w:type="dxa"/>
          </w:tcPr>
          <w:p w14:paraId="56B3ADF0" w14:textId="77777777" w:rsidR="003E0A1D" w:rsidRPr="003E0A1D" w:rsidRDefault="003E0A1D" w:rsidP="002E0667">
            <w:pPr>
              <w:spacing w:after="0" w:line="240" w:lineRule="auto"/>
              <w:rPr>
                <w:rFonts w:cs="Times New Roman"/>
                <w:sz w:val="22"/>
              </w:rPr>
            </w:pPr>
            <w:r w:rsidRPr="003E0A1D">
              <w:rPr>
                <w:rFonts w:cs="Times New Roman"/>
                <w:sz w:val="22"/>
              </w:rPr>
              <w:t>OJK, BI, BPS, Ministry of Cooperatives and SMEs</w:t>
            </w:r>
          </w:p>
        </w:tc>
        <w:tc>
          <w:tcPr>
            <w:tcW w:w="2381" w:type="dxa"/>
          </w:tcPr>
          <w:p w14:paraId="4624B005" w14:textId="77777777" w:rsidR="003E0A1D" w:rsidRPr="003E0A1D" w:rsidRDefault="003E0A1D" w:rsidP="002E0667">
            <w:pPr>
              <w:spacing w:after="0" w:line="240" w:lineRule="auto"/>
              <w:rPr>
                <w:rFonts w:cs="Times New Roman"/>
                <w:sz w:val="22"/>
              </w:rPr>
            </w:pPr>
            <w:r w:rsidRPr="003E0A1D">
              <w:rPr>
                <w:rFonts w:cs="Times New Roman"/>
                <w:sz w:val="22"/>
              </w:rPr>
              <w:t>Financial institutions, researchers, local governments</w:t>
            </w:r>
          </w:p>
        </w:tc>
        <w:tc>
          <w:tcPr>
            <w:tcW w:w="1587" w:type="dxa"/>
          </w:tcPr>
          <w:p w14:paraId="088195DF" w14:textId="77777777" w:rsidR="003E0A1D" w:rsidRPr="003E0A1D" w:rsidRDefault="003E0A1D" w:rsidP="002E0667">
            <w:pPr>
              <w:spacing w:after="0" w:line="240" w:lineRule="auto"/>
              <w:rPr>
                <w:rFonts w:cs="Times New Roman"/>
                <w:sz w:val="22"/>
              </w:rPr>
            </w:pPr>
            <w:r w:rsidRPr="003E0A1D">
              <w:rPr>
                <w:rFonts w:cs="Times New Roman"/>
                <w:sz w:val="22"/>
              </w:rPr>
              <w:t>Long term (24–60 months)</w:t>
            </w:r>
          </w:p>
        </w:tc>
        <w:tc>
          <w:tcPr>
            <w:tcW w:w="2608" w:type="dxa"/>
          </w:tcPr>
          <w:p w14:paraId="6E5F4E9F" w14:textId="77777777" w:rsidR="003E0A1D" w:rsidRPr="003E0A1D" w:rsidRDefault="003E0A1D" w:rsidP="002E0667">
            <w:pPr>
              <w:spacing w:after="0" w:line="240" w:lineRule="auto"/>
              <w:rPr>
                <w:rFonts w:cs="Times New Roman"/>
                <w:sz w:val="22"/>
              </w:rPr>
            </w:pPr>
            <w:r w:rsidRPr="003E0A1D">
              <w:rPr>
                <w:rFonts w:cs="Times New Roman"/>
                <w:sz w:val="22"/>
              </w:rPr>
              <w:t>Sales stability; productivity; employment; survival; financing access</w:t>
            </w:r>
          </w:p>
        </w:tc>
      </w:tr>
    </w:tbl>
    <w:p w14:paraId="234F3CEF" w14:textId="77777777" w:rsidR="003E0A1D" w:rsidRPr="003E0A1D" w:rsidRDefault="003E0A1D" w:rsidP="003E0A1D">
      <w:pPr>
        <w:jc w:val="center"/>
        <w:rPr>
          <w:rFonts w:cs="Times New Roman"/>
          <w:szCs w:val="24"/>
        </w:rPr>
      </w:pPr>
      <w:r w:rsidRPr="003E0A1D">
        <w:rPr>
          <w:rFonts w:cs="Times New Roman"/>
          <w:i/>
          <w:szCs w:val="24"/>
        </w:rPr>
        <w:lastRenderedPageBreak/>
        <w:t>Source: Author formulation based on the empirical findings of this study.</w:t>
      </w:r>
    </w:p>
    <w:p w14:paraId="31E16A00" w14:textId="34F066A2" w:rsidR="003E0A1D" w:rsidRDefault="003E0A1D" w:rsidP="003E0A1D">
      <w:r w:rsidRPr="003E0A1D">
        <w:t>Taken together, the recommendations form a sequenced policy package. Measurement and protection should begin immediately; capability-building and provincial delivery should follow with clear operational targets; and data-driven credit innovation should proceed only through supervised testing. This sequence reduces the risk that rapid digital access will be mistaken for economic empowerment and aligns implementation with the article’s central finding that scalability depends on the conversion of access into productive use.</w:t>
      </w:r>
    </w:p>
    <w:p w14:paraId="2FAC5F49" w14:textId="77777777" w:rsidR="003E0A1D" w:rsidRPr="003E0A1D" w:rsidRDefault="003E0A1D" w:rsidP="00F82340">
      <w:pPr>
        <w:pStyle w:val="Heading2"/>
        <w:spacing w:before="0" w:after="0"/>
      </w:pPr>
      <w:r w:rsidRPr="003E0A1D">
        <w:t>7. Disclosure</w:t>
      </w:r>
    </w:p>
    <w:p w14:paraId="02D052D5" w14:textId="77777777" w:rsidR="003E0A1D" w:rsidRPr="003E0A1D" w:rsidRDefault="003E0A1D" w:rsidP="00F82340">
      <w:pPr>
        <w:spacing w:after="0"/>
        <w:contextualSpacing/>
        <w:jc w:val="both"/>
        <w:rPr>
          <w:rFonts w:cs="Times New Roman"/>
          <w:szCs w:val="24"/>
        </w:rPr>
      </w:pPr>
      <w:r w:rsidRPr="003E0A1D">
        <w:t>Conflict of interest. The author declares no financial, professional, or personal conflict of interest that could have influenced the design, analysis, interpretation, or presentation of this study.</w:t>
      </w:r>
    </w:p>
    <w:p w14:paraId="0D066AA8" w14:textId="77777777" w:rsidR="003E0A1D" w:rsidRPr="003E0A1D" w:rsidRDefault="003E0A1D" w:rsidP="00F82340">
      <w:pPr>
        <w:spacing w:after="0"/>
        <w:contextualSpacing/>
        <w:jc w:val="both"/>
        <w:rPr>
          <w:rFonts w:cs="Times New Roman"/>
          <w:szCs w:val="24"/>
        </w:rPr>
      </w:pPr>
      <w:r w:rsidRPr="003E0A1D">
        <w:t>Funding. This study received no external financial support. No public institution, private firm, payment service provider, lender, or competition organizer participated in the analysis or influenced the conclusions.</w:t>
      </w:r>
    </w:p>
    <w:p w14:paraId="4A366821" w14:textId="77777777" w:rsidR="003E0A1D" w:rsidRPr="003E0A1D" w:rsidRDefault="003E0A1D" w:rsidP="003E0A1D">
      <w:pPr>
        <w:spacing w:after="0"/>
        <w:contextualSpacing/>
        <w:jc w:val="both"/>
        <w:rPr>
          <w:rFonts w:cs="Times New Roman"/>
          <w:szCs w:val="24"/>
        </w:rPr>
      </w:pPr>
      <w:r w:rsidRPr="003E0A1D">
        <w:t>Author contribution. The author was solely responsible for conceptualization, research design, data compilation, data validation, calculation, visualization, interpretation, manuscript drafting, and final revision.</w:t>
      </w:r>
    </w:p>
    <w:p w14:paraId="24459432" w14:textId="77777777" w:rsidR="003E0A1D" w:rsidRPr="003E0A1D" w:rsidRDefault="003E0A1D" w:rsidP="003E0A1D">
      <w:pPr>
        <w:spacing w:after="0"/>
        <w:contextualSpacing/>
        <w:jc w:val="both"/>
        <w:rPr>
          <w:rFonts w:cs="Times New Roman"/>
          <w:szCs w:val="24"/>
        </w:rPr>
      </w:pPr>
      <w:r w:rsidRPr="003E0A1D">
        <w:t xml:space="preserve">Acknowledgements. The author acknowledges the publicly available statistics, policy documents, and institutional materials issued by Bank Indonesia, OJK, BPS, the Ministry of Cooperatives and SMEs, ASPI, and </w:t>
      </w:r>
      <w:proofErr w:type="spellStart"/>
      <w:r w:rsidRPr="003E0A1D">
        <w:t>Databoks</w:t>
      </w:r>
      <w:proofErr w:type="spellEnd"/>
      <w:r w:rsidRPr="003E0A1D">
        <w:t>. Acknowledgement does not imply endorsement of the analysis or conclusions by those institutions.</w:t>
      </w:r>
    </w:p>
    <w:p w14:paraId="1C530108" w14:textId="77777777" w:rsidR="003E0A1D" w:rsidRPr="003E0A1D" w:rsidRDefault="003E0A1D" w:rsidP="003E0A1D">
      <w:pPr>
        <w:spacing w:after="0"/>
        <w:contextualSpacing/>
        <w:jc w:val="both"/>
        <w:rPr>
          <w:rFonts w:cs="Times New Roman"/>
          <w:szCs w:val="24"/>
        </w:rPr>
      </w:pPr>
      <w:r w:rsidRPr="003E0A1D">
        <w:t>Data availability. The study uses publicly available aggregate data and author-reconstructed analytical datasets. The calculation tables and reproducible analytical file may be provided upon reasonable request. Original source data remain subject to the terms, definitions, revisions, and intellectual-property conditions of their respective providers.</w:t>
      </w:r>
    </w:p>
    <w:p w14:paraId="375B5298" w14:textId="77777777" w:rsidR="003E0A1D" w:rsidRPr="003E0A1D" w:rsidRDefault="003E0A1D" w:rsidP="003E0A1D">
      <w:pPr>
        <w:spacing w:after="0"/>
        <w:contextualSpacing/>
        <w:jc w:val="both"/>
        <w:rPr>
          <w:rFonts w:cs="Times New Roman"/>
          <w:szCs w:val="24"/>
        </w:rPr>
      </w:pPr>
      <w:r w:rsidRPr="003E0A1D">
        <w:t>Originality and research integrity. This manuscript presents an original analysis and synthesis prepared specifically for this study. All external concepts, methods, statistics, and datasets are acknowledged through citation. No institution or data provider is represented as having verified the author’s calculations unless explicitly stated.</w:t>
      </w:r>
    </w:p>
    <w:p w14:paraId="457C5E05" w14:textId="77777777" w:rsidR="003E0A1D" w:rsidRPr="003E0A1D" w:rsidRDefault="003E0A1D" w:rsidP="003E0A1D">
      <w:pPr>
        <w:spacing w:after="0"/>
        <w:contextualSpacing/>
        <w:jc w:val="both"/>
        <w:rPr>
          <w:rFonts w:cs="Times New Roman"/>
          <w:szCs w:val="24"/>
        </w:rPr>
      </w:pPr>
      <w:r w:rsidRPr="003E0A1D">
        <w:lastRenderedPageBreak/>
        <w:t>Use of estimates and derived values. The 2025 MSME credit and MSME-count figures are analytical estimates used to maintain the 2020–2025 comparison frame. The implied Q2 2024 transaction values are derived by reversing reported year-on-year growth rates. These values are identified throughout the manuscript and should be replaced or recalculated when official comparable observations become available.</w:t>
      </w:r>
    </w:p>
    <w:p w14:paraId="4F2FC6A0" w14:textId="77777777" w:rsidR="003E0A1D" w:rsidRPr="003E0A1D" w:rsidRDefault="003E0A1D" w:rsidP="003E0A1D">
      <w:pPr>
        <w:spacing w:after="0"/>
        <w:contextualSpacing/>
        <w:jc w:val="both"/>
        <w:rPr>
          <w:rFonts w:cs="Times New Roman"/>
          <w:szCs w:val="24"/>
        </w:rPr>
      </w:pPr>
      <w:r w:rsidRPr="003E0A1D">
        <w:t>Ethics and data protection. The study relies exclusively on aggregate secondary data and does not involve human participants, personal identifiers, or confidential account-level information. Consequently, no individual consent or institutional ethics review was required for the present analysis.</w:t>
      </w:r>
    </w:p>
    <w:p w14:paraId="489F408A" w14:textId="67267642" w:rsidR="00744CFB" w:rsidRDefault="00744CFB" w:rsidP="00DD5535">
      <w:pPr>
        <w:spacing w:after="0"/>
        <w:contextualSpacing/>
        <w:jc w:val="both"/>
        <w:rPr>
          <w:rFonts w:cs="Times New Roman"/>
          <w:szCs w:val="24"/>
        </w:rPr>
      </w:pPr>
    </w:p>
    <w:p w14:paraId="4712745F" w14:textId="77777777" w:rsidR="00744CFB" w:rsidRDefault="00715989" w:rsidP="002E0667">
      <w:pPr>
        <w:pStyle w:val="Heading1"/>
        <w:spacing w:before="0" w:after="0" w:line="240" w:lineRule="auto"/>
        <w:contextualSpacing/>
        <w:jc w:val="both"/>
      </w:pPr>
      <w:r w:rsidRPr="008A73C9">
        <w:t>8. References</w:t>
      </w:r>
    </w:p>
    <w:p w14:paraId="3F97E150" w14:textId="48055FBC" w:rsidR="00B06290" w:rsidRPr="00B06290" w:rsidRDefault="00FA211B" w:rsidP="002E0667">
      <w:pPr>
        <w:widowControl w:val="0"/>
        <w:autoSpaceDE w:val="0"/>
        <w:autoSpaceDN w:val="0"/>
        <w:adjustRightInd w:val="0"/>
        <w:spacing w:after="0" w:line="240" w:lineRule="auto"/>
        <w:ind w:left="480" w:hanging="480"/>
        <w:rPr>
          <w:rFonts w:cs="Times New Roman"/>
          <w:noProof/>
        </w:rPr>
      </w:pPr>
      <w:r>
        <w:fldChar w:fldCharType="begin" w:fldLock="1"/>
      </w:r>
      <w:r>
        <w:instrText xml:space="preserve">ADDIN Mendeley Bibliography CSL_BIBLIOGRAPHY </w:instrText>
      </w:r>
      <w:r>
        <w:fldChar w:fldCharType="separate"/>
      </w:r>
      <w:r w:rsidR="00B06290" w:rsidRPr="00B06290">
        <w:rPr>
          <w:rFonts w:cs="Times New Roman"/>
          <w:noProof/>
        </w:rPr>
        <w:t xml:space="preserve">Allen, F., Demirguc-Kunt, A., Klapper, L., &amp; Martinez Peria, M. S. (2016). The foundations of financial inclusion: Understanding ownership and use of formal accounts. </w:t>
      </w:r>
      <w:r w:rsidR="00B06290" w:rsidRPr="00B06290">
        <w:rPr>
          <w:rFonts w:cs="Times New Roman"/>
          <w:i/>
          <w:iCs/>
          <w:noProof/>
        </w:rPr>
        <w:t>Journal of Financial Intermediation</w:t>
      </w:r>
      <w:r w:rsidR="00B06290" w:rsidRPr="00B06290">
        <w:rPr>
          <w:rFonts w:cs="Times New Roman"/>
          <w:noProof/>
        </w:rPr>
        <w:t xml:space="preserve">, </w:t>
      </w:r>
      <w:r w:rsidR="00B06290" w:rsidRPr="00B06290">
        <w:rPr>
          <w:rFonts w:cs="Times New Roman"/>
          <w:i/>
          <w:iCs/>
          <w:noProof/>
        </w:rPr>
        <w:t>27</w:t>
      </w:r>
      <w:r w:rsidR="00B06290" w:rsidRPr="00B06290">
        <w:rPr>
          <w:rFonts w:cs="Times New Roman"/>
          <w:noProof/>
        </w:rPr>
        <w:t>, 1–30. https://doi.org/10.1016/j.jfi.2015.12.003</w:t>
      </w:r>
    </w:p>
    <w:p w14:paraId="40AB7D33"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Arner, D. W., Buckley, R. P., Zetzsche, D. A., &amp; Veidt, R. (2020). Sustainability, FinTech and Financial Inclusion. </w:t>
      </w:r>
      <w:r w:rsidRPr="00B06290">
        <w:rPr>
          <w:rFonts w:cs="Times New Roman"/>
          <w:i/>
          <w:iCs/>
          <w:noProof/>
        </w:rPr>
        <w:t>European Business Organization Law Review</w:t>
      </w:r>
      <w:r w:rsidRPr="00B06290">
        <w:rPr>
          <w:rFonts w:cs="Times New Roman"/>
          <w:noProof/>
        </w:rPr>
        <w:t xml:space="preserve">, </w:t>
      </w:r>
      <w:r w:rsidRPr="00B06290">
        <w:rPr>
          <w:rFonts w:cs="Times New Roman"/>
          <w:i/>
          <w:iCs/>
          <w:noProof/>
        </w:rPr>
        <w:t>21</w:t>
      </w:r>
      <w:r w:rsidRPr="00B06290">
        <w:rPr>
          <w:rFonts w:cs="Times New Roman"/>
          <w:noProof/>
        </w:rPr>
        <w:t>(1), 7–35. https://doi.org/10.1007/s40804-020-00183-y</w:t>
      </w:r>
    </w:p>
    <w:p w14:paraId="0DEEDDC7"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Ayyagari, M., Demirguc-Kunt, A., &amp; Maksimovic, V. (2014). Who creates jobs in developing countries? </w:t>
      </w:r>
      <w:r w:rsidRPr="00B06290">
        <w:rPr>
          <w:rFonts w:cs="Times New Roman"/>
          <w:i/>
          <w:iCs/>
          <w:noProof/>
        </w:rPr>
        <w:t>Small Business Economics</w:t>
      </w:r>
      <w:r w:rsidRPr="00B06290">
        <w:rPr>
          <w:rFonts w:cs="Times New Roman"/>
          <w:noProof/>
        </w:rPr>
        <w:t xml:space="preserve">, </w:t>
      </w:r>
      <w:r w:rsidRPr="00B06290">
        <w:rPr>
          <w:rFonts w:cs="Times New Roman"/>
          <w:i/>
          <w:iCs/>
          <w:noProof/>
        </w:rPr>
        <w:t>43</w:t>
      </w:r>
      <w:r w:rsidRPr="00B06290">
        <w:rPr>
          <w:rFonts w:cs="Times New Roman"/>
          <w:noProof/>
        </w:rPr>
        <w:t>(1), 75–99. https://doi.org/10.1007/s11187-014-9549-5</w:t>
      </w:r>
    </w:p>
    <w:p w14:paraId="1FBEE360"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Beck, T., Demirguc‐Kunt, A., &amp; Maksimovic, V. (2005). Financial and Legal Constraints to Growth: Does Firm Size Matter? </w:t>
      </w:r>
      <w:r w:rsidRPr="00B06290">
        <w:rPr>
          <w:rFonts w:cs="Times New Roman"/>
          <w:i/>
          <w:iCs/>
          <w:noProof/>
        </w:rPr>
        <w:t>The Journal of Finance</w:t>
      </w:r>
      <w:r w:rsidRPr="00B06290">
        <w:rPr>
          <w:rFonts w:cs="Times New Roman"/>
          <w:noProof/>
        </w:rPr>
        <w:t xml:space="preserve">, </w:t>
      </w:r>
      <w:r w:rsidRPr="00B06290">
        <w:rPr>
          <w:rFonts w:cs="Times New Roman"/>
          <w:i/>
          <w:iCs/>
          <w:noProof/>
        </w:rPr>
        <w:t>60</w:t>
      </w:r>
      <w:r w:rsidRPr="00B06290">
        <w:rPr>
          <w:rFonts w:cs="Times New Roman"/>
          <w:noProof/>
        </w:rPr>
        <w:t>(1), 137–177. https://doi.org/10.1111/j.1540-6261.2005.00727.x</w:t>
      </w:r>
    </w:p>
    <w:p w14:paraId="7925A9AC"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Berger, A. N., &amp; Udell, G. F. (2006). A more complete conceptual framework for SME finance. </w:t>
      </w:r>
      <w:r w:rsidRPr="00B06290">
        <w:rPr>
          <w:rFonts w:cs="Times New Roman"/>
          <w:i/>
          <w:iCs/>
          <w:noProof/>
        </w:rPr>
        <w:t>Journal of Banking &amp; Finance</w:t>
      </w:r>
      <w:r w:rsidRPr="00B06290">
        <w:rPr>
          <w:rFonts w:cs="Times New Roman"/>
          <w:noProof/>
        </w:rPr>
        <w:t xml:space="preserve">, </w:t>
      </w:r>
      <w:r w:rsidRPr="00B06290">
        <w:rPr>
          <w:rFonts w:cs="Times New Roman"/>
          <w:i/>
          <w:iCs/>
          <w:noProof/>
        </w:rPr>
        <w:t>30</w:t>
      </w:r>
      <w:r w:rsidRPr="00B06290">
        <w:rPr>
          <w:rFonts w:cs="Times New Roman"/>
          <w:noProof/>
        </w:rPr>
        <w:t>(11), 2945–2966. https://doi.org/10.1016/j.jbankfin.2006.05.008</w:t>
      </w:r>
    </w:p>
    <w:p w14:paraId="34EB167C"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BI. (2019). </w:t>
      </w:r>
      <w:r w:rsidRPr="00B06290">
        <w:rPr>
          <w:rFonts w:cs="Times New Roman"/>
          <w:i/>
          <w:iCs/>
          <w:noProof/>
        </w:rPr>
        <w:t>Blueprint Sistem Pembayaran Indonesia 2025: Menavigasi sistem pembayaran nasional di era digital [Indonesia Payment System Blueprint 2025: Navigating the national payment system in the digital era]</w:t>
      </w:r>
      <w:r w:rsidRPr="00B06290">
        <w:rPr>
          <w:rFonts w:cs="Times New Roman"/>
          <w:noProof/>
        </w:rPr>
        <w:t>. https://www.bi.go.id/id/fungsi-utama/sistem-pembayaran/blueprint-2025/Default.aspx</w:t>
      </w:r>
    </w:p>
    <w:p w14:paraId="39CA5536"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BI. (2024). </w:t>
      </w:r>
      <w:r w:rsidRPr="00B06290">
        <w:rPr>
          <w:rFonts w:cs="Times New Roman"/>
          <w:i/>
          <w:iCs/>
          <w:noProof/>
        </w:rPr>
        <w:t>Data perkembangan jumlah merchant Quick Response Code Indonesian Standard (QRIS) di Indonesia periode 2020-2024</w:t>
      </w:r>
      <w:r w:rsidRPr="00B06290">
        <w:rPr>
          <w:rFonts w:cs="Times New Roman"/>
          <w:noProof/>
        </w:rPr>
        <w:t>.</w:t>
      </w:r>
    </w:p>
    <w:p w14:paraId="2233BB01"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BPS. (2024). </w:t>
      </w:r>
      <w:r w:rsidRPr="00B06290">
        <w:rPr>
          <w:rFonts w:cs="Times New Roman"/>
          <w:i/>
          <w:iCs/>
          <w:noProof/>
        </w:rPr>
        <w:t>Persentase penduduk berumur 5 tahun ke atas yang mengakses internet dalam 3 bulan terakhir menurut provinsi</w:t>
      </w:r>
      <w:r w:rsidRPr="00B06290">
        <w:rPr>
          <w:rFonts w:cs="Times New Roman"/>
          <w:noProof/>
        </w:rPr>
        <w:t>.</w:t>
      </w:r>
    </w:p>
    <w:p w14:paraId="3599ECA8"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Cowell, F. (2011). </w:t>
      </w:r>
      <w:r w:rsidRPr="00B06290">
        <w:rPr>
          <w:rFonts w:cs="Times New Roman"/>
          <w:i/>
          <w:iCs/>
          <w:noProof/>
        </w:rPr>
        <w:t>Measuring Inequality</w:t>
      </w:r>
      <w:r w:rsidRPr="00B06290">
        <w:rPr>
          <w:rFonts w:cs="Times New Roman"/>
          <w:noProof/>
        </w:rPr>
        <w:t>. Oxford University Press. https://doi.org/10.1093/acprof:osobl/9780199594030.001.0001</w:t>
      </w:r>
    </w:p>
    <w:p w14:paraId="6D18B3F5"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Damodar N. Gujarati, D. C. P. (2009). Basic Econometrics. In </w:t>
      </w:r>
      <w:r w:rsidRPr="00B06290">
        <w:rPr>
          <w:rFonts w:cs="Times New Roman"/>
          <w:i/>
          <w:iCs/>
          <w:noProof/>
        </w:rPr>
        <w:t>McGraw-Hill Irwin</w:t>
      </w:r>
      <w:r w:rsidRPr="00B06290">
        <w:rPr>
          <w:rFonts w:cs="Times New Roman"/>
          <w:noProof/>
        </w:rPr>
        <w:t xml:space="preserve"> (Fourth Edi, p. 922).</w:t>
      </w:r>
    </w:p>
    <w:p w14:paraId="67BCB06B"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Databoks katadata. (2024). </w:t>
      </w:r>
      <w:r w:rsidRPr="00B06290">
        <w:rPr>
          <w:rFonts w:cs="Times New Roman"/>
          <w:i/>
          <w:iCs/>
          <w:noProof/>
        </w:rPr>
        <w:t>Statistik adopsi infrastruktur pembayaran digital dan agregasi merchant QRIS nasional.</w:t>
      </w:r>
    </w:p>
    <w:p w14:paraId="4CC8E0CC"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Demirguc-Kunt, A., &amp; Klapper, L. (2012). </w:t>
      </w:r>
      <w:r w:rsidRPr="00B06290">
        <w:rPr>
          <w:rFonts w:cs="Times New Roman"/>
          <w:i/>
          <w:iCs/>
          <w:noProof/>
        </w:rPr>
        <w:t xml:space="preserve">Measuring Financial Inclusion: The Global </w:t>
      </w:r>
      <w:r w:rsidRPr="00B06290">
        <w:rPr>
          <w:rFonts w:cs="Times New Roman"/>
          <w:i/>
          <w:iCs/>
          <w:noProof/>
        </w:rPr>
        <w:lastRenderedPageBreak/>
        <w:t>Findex Database</w:t>
      </w:r>
      <w:r w:rsidRPr="00B06290">
        <w:rPr>
          <w:rFonts w:cs="Times New Roman"/>
          <w:noProof/>
        </w:rPr>
        <w:t>. World Bank, Washington, DC. https://doi.org/10.1596/1813-9450-6025</w:t>
      </w:r>
    </w:p>
    <w:p w14:paraId="5164C97A"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Frame, W. S., Srinivasan, A., &amp; Woosley, L. (2001). The Effect of Credit Scoring on Small-Business Lending. </w:t>
      </w:r>
      <w:r w:rsidRPr="00B06290">
        <w:rPr>
          <w:rFonts w:cs="Times New Roman"/>
          <w:i/>
          <w:iCs/>
          <w:noProof/>
        </w:rPr>
        <w:t>Journal of Money, Credit and Banking</w:t>
      </w:r>
      <w:r w:rsidRPr="00B06290">
        <w:rPr>
          <w:rFonts w:cs="Times New Roman"/>
          <w:noProof/>
        </w:rPr>
        <w:t xml:space="preserve">, </w:t>
      </w:r>
      <w:r w:rsidRPr="00B06290">
        <w:rPr>
          <w:rFonts w:cs="Times New Roman"/>
          <w:i/>
          <w:iCs/>
          <w:noProof/>
        </w:rPr>
        <w:t>33</w:t>
      </w:r>
      <w:r w:rsidRPr="00B06290">
        <w:rPr>
          <w:rFonts w:cs="Times New Roman"/>
          <w:noProof/>
        </w:rPr>
        <w:t>(3), 813. https://doi.org/10.2307/2673896</w:t>
      </w:r>
    </w:p>
    <w:p w14:paraId="22921F38"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Gomber, P., Kauffman, R. J., Parker, C., &amp; Weber, B. W. (2018). On the Fintech Revolution: Interpreting the Forces of Innovation, Disruption, and Transformation in Financial Services. </w:t>
      </w:r>
      <w:r w:rsidRPr="00B06290">
        <w:rPr>
          <w:rFonts w:cs="Times New Roman"/>
          <w:i/>
          <w:iCs/>
          <w:noProof/>
        </w:rPr>
        <w:t>Journal of Management Information Systems</w:t>
      </w:r>
      <w:r w:rsidRPr="00B06290">
        <w:rPr>
          <w:rFonts w:cs="Times New Roman"/>
          <w:noProof/>
        </w:rPr>
        <w:t xml:space="preserve">, </w:t>
      </w:r>
      <w:r w:rsidRPr="00B06290">
        <w:rPr>
          <w:rFonts w:cs="Times New Roman"/>
          <w:i/>
          <w:iCs/>
          <w:noProof/>
        </w:rPr>
        <w:t>35</w:t>
      </w:r>
      <w:r w:rsidRPr="00B06290">
        <w:rPr>
          <w:rFonts w:cs="Times New Roman"/>
          <w:noProof/>
        </w:rPr>
        <w:t>(1), 220–265. https://doi.org/10.1080/07421222.2018.1440766</w:t>
      </w:r>
    </w:p>
    <w:p w14:paraId="5AC46F46"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Grohmann, A., Klühs, T., &amp; Menkhoff, L. (2018). Does financial literacy improve financial inclusion? Cross country evidence. </w:t>
      </w:r>
      <w:r w:rsidRPr="00B06290">
        <w:rPr>
          <w:rFonts w:cs="Times New Roman"/>
          <w:i/>
          <w:iCs/>
          <w:noProof/>
        </w:rPr>
        <w:t>World Development</w:t>
      </w:r>
      <w:r w:rsidRPr="00B06290">
        <w:rPr>
          <w:rFonts w:cs="Times New Roman"/>
          <w:noProof/>
        </w:rPr>
        <w:t xml:space="preserve">, </w:t>
      </w:r>
      <w:r w:rsidRPr="00B06290">
        <w:rPr>
          <w:rFonts w:cs="Times New Roman"/>
          <w:i/>
          <w:iCs/>
          <w:noProof/>
        </w:rPr>
        <w:t>111</w:t>
      </w:r>
      <w:r w:rsidRPr="00B06290">
        <w:rPr>
          <w:rFonts w:cs="Times New Roman"/>
          <w:noProof/>
        </w:rPr>
        <w:t>, 84–96. https://doi.org/10.1016/j.worlddev.2018.06.020</w:t>
      </w:r>
    </w:p>
    <w:p w14:paraId="3CEDB8A8"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Hirschmann, A. (1964). The Paternity of an Index. </w:t>
      </w:r>
      <w:r w:rsidRPr="00B06290">
        <w:rPr>
          <w:rFonts w:cs="Times New Roman"/>
          <w:i/>
          <w:iCs/>
          <w:noProof/>
        </w:rPr>
        <w:t>American Economic Review</w:t>
      </w:r>
      <w:r w:rsidRPr="00B06290">
        <w:rPr>
          <w:rFonts w:cs="Times New Roman"/>
          <w:noProof/>
        </w:rPr>
        <w:t xml:space="preserve">, </w:t>
      </w:r>
      <w:r w:rsidRPr="00B06290">
        <w:rPr>
          <w:rFonts w:cs="Times New Roman"/>
          <w:i/>
          <w:iCs/>
          <w:noProof/>
        </w:rPr>
        <w:t>54</w:t>
      </w:r>
      <w:r w:rsidRPr="00B06290">
        <w:rPr>
          <w:rFonts w:cs="Times New Roman"/>
          <w:noProof/>
        </w:rPr>
        <w:t>, 761.</w:t>
      </w:r>
    </w:p>
    <w:p w14:paraId="06D1D1E9"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Indonesia, K. K. dan U. K. dan M. R. (2024). </w:t>
      </w:r>
      <w:r w:rsidRPr="00B06290">
        <w:rPr>
          <w:rFonts w:cs="Times New Roman"/>
          <w:i/>
          <w:iCs/>
          <w:noProof/>
        </w:rPr>
        <w:t>Laporan data perkembangan usaha mikro, kecil, dan menengah (UMKM) di Indonesia tahun 2020-2024</w:t>
      </w:r>
      <w:r w:rsidRPr="00B06290">
        <w:rPr>
          <w:rFonts w:cs="Times New Roman"/>
          <w:noProof/>
        </w:rPr>
        <w:t>.</w:t>
      </w:r>
    </w:p>
    <w:p w14:paraId="3A6E990F"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Informatika, K. K. dan. (2021). </w:t>
      </w:r>
      <w:r w:rsidRPr="00B06290">
        <w:rPr>
          <w:rFonts w:cs="Times New Roman"/>
          <w:i/>
          <w:iCs/>
          <w:noProof/>
        </w:rPr>
        <w:t>Peta Jalan Indonesia Digital 2021-2024 [Indonesia Digital Roadmap 2021-2024]</w:t>
      </w:r>
      <w:r w:rsidRPr="00B06290">
        <w:rPr>
          <w:rFonts w:cs="Times New Roman"/>
          <w:noProof/>
        </w:rPr>
        <w:t>. https://www.kominfo.go.id/</w:t>
      </w:r>
    </w:p>
    <w:p w14:paraId="3FF29DE1"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Jack, W., &amp; Suri, T. (2014). Risk Sharing and Transactions Costs: Evidence from Kenya’s Mobile Money Revolution. </w:t>
      </w:r>
      <w:r w:rsidRPr="00B06290">
        <w:rPr>
          <w:rFonts w:cs="Times New Roman"/>
          <w:i/>
          <w:iCs/>
          <w:noProof/>
        </w:rPr>
        <w:t>American Economic Review</w:t>
      </w:r>
      <w:r w:rsidRPr="00B06290">
        <w:rPr>
          <w:rFonts w:cs="Times New Roman"/>
          <w:noProof/>
        </w:rPr>
        <w:t xml:space="preserve">, </w:t>
      </w:r>
      <w:r w:rsidRPr="00B06290">
        <w:rPr>
          <w:rFonts w:cs="Times New Roman"/>
          <w:i/>
          <w:iCs/>
          <w:noProof/>
        </w:rPr>
        <w:t>104</w:t>
      </w:r>
      <w:r w:rsidRPr="00B06290">
        <w:rPr>
          <w:rFonts w:cs="Times New Roman"/>
          <w:noProof/>
        </w:rPr>
        <w:t>(1), 183–223. https://doi.org/10.1257/aer.104.1.183</w:t>
      </w:r>
    </w:p>
    <w:p w14:paraId="599F9AE0"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Jagtiani, J., &amp; Lemieux, C. (2019). The roles of alternative data and machine learning in fintech lending: Evidence from the LendingClub consumer platform. </w:t>
      </w:r>
      <w:r w:rsidRPr="00B06290">
        <w:rPr>
          <w:rFonts w:cs="Times New Roman"/>
          <w:i/>
          <w:iCs/>
          <w:noProof/>
        </w:rPr>
        <w:t>Financial Management</w:t>
      </w:r>
      <w:r w:rsidRPr="00B06290">
        <w:rPr>
          <w:rFonts w:cs="Times New Roman"/>
          <w:noProof/>
        </w:rPr>
        <w:t xml:space="preserve">, </w:t>
      </w:r>
      <w:r w:rsidRPr="00B06290">
        <w:rPr>
          <w:rFonts w:cs="Times New Roman"/>
          <w:i/>
          <w:iCs/>
          <w:noProof/>
        </w:rPr>
        <w:t>48</w:t>
      </w:r>
      <w:r w:rsidRPr="00B06290">
        <w:rPr>
          <w:rFonts w:cs="Times New Roman"/>
          <w:noProof/>
        </w:rPr>
        <w:t>(4), 1009–1029. https://doi.org/10.1111/fima.12295</w:t>
      </w:r>
    </w:p>
    <w:p w14:paraId="5B0570EB"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Joseph F Hair, Barry J. Babin, Rolph E. Anderson, W. C. B. (2022). Multivariate Data Analysis. In </w:t>
      </w:r>
      <w:r w:rsidRPr="00B06290">
        <w:rPr>
          <w:rFonts w:cs="Times New Roman"/>
          <w:i/>
          <w:iCs/>
          <w:noProof/>
        </w:rPr>
        <w:t>Cengage Learning</w:t>
      </w:r>
      <w:r w:rsidRPr="00B06290">
        <w:rPr>
          <w:rFonts w:cs="Times New Roman"/>
          <w:noProof/>
        </w:rPr>
        <w:t xml:space="preserve"> (8th ed, p. 832).</w:t>
      </w:r>
    </w:p>
    <w:p w14:paraId="7AC9D6A3"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Klapper, L., Laeven, L., &amp; Rajan, R. (2006). Entry regulation as a barrier to entrepreneurship. </w:t>
      </w:r>
      <w:r w:rsidRPr="00B06290">
        <w:rPr>
          <w:rFonts w:cs="Times New Roman"/>
          <w:i/>
          <w:iCs/>
          <w:noProof/>
        </w:rPr>
        <w:t>Journal of Financial Economics</w:t>
      </w:r>
      <w:r w:rsidRPr="00B06290">
        <w:rPr>
          <w:rFonts w:cs="Times New Roman"/>
          <w:noProof/>
        </w:rPr>
        <w:t xml:space="preserve">, </w:t>
      </w:r>
      <w:r w:rsidRPr="00B06290">
        <w:rPr>
          <w:rFonts w:cs="Times New Roman"/>
          <w:i/>
          <w:iCs/>
          <w:noProof/>
        </w:rPr>
        <w:t>82</w:t>
      </w:r>
      <w:r w:rsidRPr="00B06290">
        <w:rPr>
          <w:rFonts w:cs="Times New Roman"/>
          <w:noProof/>
        </w:rPr>
        <w:t>(3), 591–629. https://doi.org/10.1016/j.jfineco.2005.09.006</w:t>
      </w:r>
    </w:p>
    <w:p w14:paraId="2C3C214E"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Lusardi, A., &amp; Mitchell, O. S. (2014). The Economic Importance of Financial Literacy: Theory and Evidence. </w:t>
      </w:r>
      <w:r w:rsidRPr="00B06290">
        <w:rPr>
          <w:rFonts w:cs="Times New Roman"/>
          <w:i/>
          <w:iCs/>
          <w:noProof/>
        </w:rPr>
        <w:t>Journal of Economic Literature</w:t>
      </w:r>
      <w:r w:rsidRPr="00B06290">
        <w:rPr>
          <w:rFonts w:cs="Times New Roman"/>
          <w:noProof/>
        </w:rPr>
        <w:t xml:space="preserve">, </w:t>
      </w:r>
      <w:r w:rsidRPr="00B06290">
        <w:rPr>
          <w:rFonts w:cs="Times New Roman"/>
          <w:i/>
          <w:iCs/>
          <w:noProof/>
        </w:rPr>
        <w:t>52</w:t>
      </w:r>
      <w:r w:rsidRPr="00B06290">
        <w:rPr>
          <w:rFonts w:cs="Times New Roman"/>
          <w:noProof/>
        </w:rPr>
        <w:t>(1), 5–44. https://doi.org/10.1257/jel.52.1.5</w:t>
      </w:r>
    </w:p>
    <w:p w14:paraId="19D66B01"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Morgan, P. J., &amp; Long, T. Q. (2020). Financial literacy, financial inclusion, and savings behavior in Laos. </w:t>
      </w:r>
      <w:r w:rsidRPr="00B06290">
        <w:rPr>
          <w:rFonts w:cs="Times New Roman"/>
          <w:i/>
          <w:iCs/>
          <w:noProof/>
        </w:rPr>
        <w:t>Journal of Asian Economics</w:t>
      </w:r>
      <w:r w:rsidRPr="00B06290">
        <w:rPr>
          <w:rFonts w:cs="Times New Roman"/>
          <w:noProof/>
        </w:rPr>
        <w:t xml:space="preserve">, </w:t>
      </w:r>
      <w:r w:rsidRPr="00B06290">
        <w:rPr>
          <w:rFonts w:cs="Times New Roman"/>
          <w:i/>
          <w:iCs/>
          <w:noProof/>
        </w:rPr>
        <w:t>68</w:t>
      </w:r>
      <w:r w:rsidRPr="00B06290">
        <w:rPr>
          <w:rFonts w:cs="Times New Roman"/>
          <w:noProof/>
        </w:rPr>
        <w:t>, 101197. https://doi.org/10.1016/j.asieco.2020.101197</w:t>
      </w:r>
    </w:p>
    <w:p w14:paraId="51D3CBA5"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Murfin, J., &amp; Spiegel, M. (2020). Is the Risk of Sea Level Rise Capitalized in Residential Real Estate? </w:t>
      </w:r>
      <w:r w:rsidRPr="00B06290">
        <w:rPr>
          <w:rFonts w:cs="Times New Roman"/>
          <w:i/>
          <w:iCs/>
          <w:noProof/>
        </w:rPr>
        <w:t>The Review of Financial Studies</w:t>
      </w:r>
      <w:r w:rsidRPr="00B06290">
        <w:rPr>
          <w:rFonts w:cs="Times New Roman"/>
          <w:noProof/>
        </w:rPr>
        <w:t xml:space="preserve">, </w:t>
      </w:r>
      <w:r w:rsidRPr="00B06290">
        <w:rPr>
          <w:rFonts w:cs="Times New Roman"/>
          <w:i/>
          <w:iCs/>
          <w:noProof/>
        </w:rPr>
        <w:t>33</w:t>
      </w:r>
      <w:r w:rsidRPr="00B06290">
        <w:rPr>
          <w:rFonts w:cs="Times New Roman"/>
          <w:noProof/>
        </w:rPr>
        <w:t>(3), 1217–1255. https://doi.org/10.1093/rfs/hhz134</w:t>
      </w:r>
    </w:p>
    <w:p w14:paraId="45386151"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OJK. (2024a). </w:t>
      </w:r>
      <w:r w:rsidRPr="00B06290">
        <w:rPr>
          <w:rFonts w:cs="Times New Roman"/>
          <w:i/>
          <w:iCs/>
          <w:noProof/>
        </w:rPr>
        <w:t>Hasil Survei Nasional Literasi dan Inklusi Keuangan (SNLIK) 2024</w:t>
      </w:r>
      <w:r w:rsidRPr="00B06290">
        <w:rPr>
          <w:rFonts w:cs="Times New Roman"/>
          <w:noProof/>
        </w:rPr>
        <w:t>.</w:t>
      </w:r>
    </w:p>
    <w:p w14:paraId="1EFA3B3E"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OJK. (2024b). </w:t>
      </w:r>
      <w:r w:rsidRPr="00B06290">
        <w:rPr>
          <w:rFonts w:cs="Times New Roman"/>
          <w:i/>
          <w:iCs/>
          <w:noProof/>
        </w:rPr>
        <w:t>Survei Nasional Literasi dan Inklusi Keuangan (SNLIK) 2024</w:t>
      </w:r>
      <w:r w:rsidRPr="00B06290">
        <w:rPr>
          <w:rFonts w:cs="Times New Roman"/>
          <w:noProof/>
        </w:rPr>
        <w:t>. https://ojk.go.id/id/berita-dan-kegiatan/publikasi/Pages/Survei-Nasional-Literasi-dan-Inklusi-Keuangan-(SNLIK)-2024.aspx</w:t>
      </w:r>
    </w:p>
    <w:p w14:paraId="00BF72B3"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OJK. (2026). </w:t>
      </w:r>
      <w:r w:rsidRPr="00B06290">
        <w:rPr>
          <w:rFonts w:cs="Times New Roman"/>
          <w:i/>
          <w:iCs/>
          <w:noProof/>
        </w:rPr>
        <w:t>Sosialisasi Kegiatan KARISMA OJK Paper Award 2026</w:t>
      </w:r>
      <w:r w:rsidRPr="00B06290">
        <w:rPr>
          <w:rFonts w:cs="Times New Roman"/>
          <w:noProof/>
        </w:rPr>
        <w:t>. https://www.karismaojki.com/pengumuman</w:t>
      </w:r>
    </w:p>
    <w:p w14:paraId="4B9FE0D8"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Perekonomian, K. K. B. (2021). </w:t>
      </w:r>
      <w:r w:rsidRPr="00B06290">
        <w:rPr>
          <w:rFonts w:cs="Times New Roman"/>
          <w:i/>
          <w:iCs/>
          <w:noProof/>
        </w:rPr>
        <w:t>Strategi Nasional Ekonomi Digital Indonesia 2030 [National Strategy for Indonesian Digital Economy 2030]</w:t>
      </w:r>
      <w:r w:rsidRPr="00B06290">
        <w:rPr>
          <w:rFonts w:cs="Times New Roman"/>
          <w:noProof/>
        </w:rPr>
        <w:t>. https://ekon.go.id/</w:t>
      </w:r>
    </w:p>
    <w:p w14:paraId="4F819191"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Petersen, M. A., &amp; Rajan, R. G. (1994). The Benefits of Lending Relationships: Evidence from Small Business Data. </w:t>
      </w:r>
      <w:r w:rsidRPr="00B06290">
        <w:rPr>
          <w:rFonts w:cs="Times New Roman"/>
          <w:i/>
          <w:iCs/>
          <w:noProof/>
        </w:rPr>
        <w:t>The Journal of Finance</w:t>
      </w:r>
      <w:r w:rsidRPr="00B06290">
        <w:rPr>
          <w:rFonts w:cs="Times New Roman"/>
          <w:noProof/>
        </w:rPr>
        <w:t xml:space="preserve">, </w:t>
      </w:r>
      <w:r w:rsidRPr="00B06290">
        <w:rPr>
          <w:rFonts w:cs="Times New Roman"/>
          <w:i/>
          <w:iCs/>
          <w:noProof/>
        </w:rPr>
        <w:t>49</w:t>
      </w:r>
      <w:r w:rsidRPr="00B06290">
        <w:rPr>
          <w:rFonts w:cs="Times New Roman"/>
          <w:noProof/>
        </w:rPr>
        <w:t xml:space="preserve">(1), 3–37. </w:t>
      </w:r>
      <w:r w:rsidRPr="00B06290">
        <w:rPr>
          <w:rFonts w:cs="Times New Roman"/>
          <w:noProof/>
        </w:rPr>
        <w:lastRenderedPageBreak/>
        <w:t>https://doi.org/10.1111/j.1540-6261.1994.tb04418.x</w:t>
      </w:r>
    </w:p>
    <w:p w14:paraId="38BA377A"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Suri, T. (2017). Mobile Money. </w:t>
      </w:r>
      <w:r w:rsidRPr="00B06290">
        <w:rPr>
          <w:rFonts w:cs="Times New Roman"/>
          <w:i/>
          <w:iCs/>
          <w:noProof/>
        </w:rPr>
        <w:t>Annual Review of Economics</w:t>
      </w:r>
      <w:r w:rsidRPr="00B06290">
        <w:rPr>
          <w:rFonts w:cs="Times New Roman"/>
          <w:noProof/>
        </w:rPr>
        <w:t xml:space="preserve">, </w:t>
      </w:r>
      <w:r w:rsidRPr="00B06290">
        <w:rPr>
          <w:rFonts w:cs="Times New Roman"/>
          <w:i/>
          <w:iCs/>
          <w:noProof/>
        </w:rPr>
        <w:t>9</w:t>
      </w:r>
      <w:r w:rsidRPr="00B06290">
        <w:rPr>
          <w:rFonts w:cs="Times New Roman"/>
          <w:noProof/>
        </w:rPr>
        <w:t>(1), 497–520. https://doi.org/10.1146/annurev-economics-063016-103638</w:t>
      </w:r>
    </w:p>
    <w:p w14:paraId="5AEF07F4"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Suri, T., &amp; Jack, W. (2016). The long-run poverty and gender impacts of mobile money. </w:t>
      </w:r>
      <w:r w:rsidRPr="00B06290">
        <w:rPr>
          <w:rFonts w:cs="Times New Roman"/>
          <w:i/>
          <w:iCs/>
          <w:noProof/>
        </w:rPr>
        <w:t>Science</w:t>
      </w:r>
      <w:r w:rsidRPr="00B06290">
        <w:rPr>
          <w:rFonts w:cs="Times New Roman"/>
          <w:noProof/>
        </w:rPr>
        <w:t xml:space="preserve">, </w:t>
      </w:r>
      <w:r w:rsidRPr="00B06290">
        <w:rPr>
          <w:rFonts w:cs="Times New Roman"/>
          <w:i/>
          <w:iCs/>
          <w:noProof/>
        </w:rPr>
        <w:t>354</w:t>
      </w:r>
      <w:r w:rsidRPr="00B06290">
        <w:rPr>
          <w:rFonts w:cs="Times New Roman"/>
          <w:noProof/>
        </w:rPr>
        <w:t>(6317), 1288–1292. https://doi.org/10.1126/science.aah5309</w:t>
      </w:r>
    </w:p>
    <w:p w14:paraId="1F11042B"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van Rooij, M., Lusardi, A., &amp; Alessie, R. (2011). Financial literacy and stock market participation. </w:t>
      </w:r>
      <w:r w:rsidRPr="00B06290">
        <w:rPr>
          <w:rFonts w:cs="Times New Roman"/>
          <w:i/>
          <w:iCs/>
          <w:noProof/>
        </w:rPr>
        <w:t>Journal of Financial Economics</w:t>
      </w:r>
      <w:r w:rsidRPr="00B06290">
        <w:rPr>
          <w:rFonts w:cs="Times New Roman"/>
          <w:noProof/>
        </w:rPr>
        <w:t xml:space="preserve">, </w:t>
      </w:r>
      <w:r w:rsidRPr="00B06290">
        <w:rPr>
          <w:rFonts w:cs="Times New Roman"/>
          <w:i/>
          <w:iCs/>
          <w:noProof/>
        </w:rPr>
        <w:t>101</w:t>
      </w:r>
      <w:r w:rsidRPr="00B06290">
        <w:rPr>
          <w:rFonts w:cs="Times New Roman"/>
          <w:noProof/>
        </w:rPr>
        <w:t>(2), 449–472. https://doi.org/10.1016/j.jfineco.2011.03.006</w:t>
      </w:r>
    </w:p>
    <w:p w14:paraId="6AD9A801"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Voordeckers, W., &amp; Steijvers, T. (2006). Business collateral and personal commitments in SME lending. </w:t>
      </w:r>
      <w:r w:rsidRPr="00B06290">
        <w:rPr>
          <w:rFonts w:cs="Times New Roman"/>
          <w:i/>
          <w:iCs/>
          <w:noProof/>
        </w:rPr>
        <w:t>Journal of Banking &amp; Finance</w:t>
      </w:r>
      <w:r w:rsidRPr="00B06290">
        <w:rPr>
          <w:rFonts w:cs="Times New Roman"/>
          <w:noProof/>
        </w:rPr>
        <w:t xml:space="preserve">, </w:t>
      </w:r>
      <w:r w:rsidRPr="00B06290">
        <w:rPr>
          <w:rFonts w:cs="Times New Roman"/>
          <w:i/>
          <w:iCs/>
          <w:noProof/>
        </w:rPr>
        <w:t>30</w:t>
      </w:r>
      <w:r w:rsidRPr="00B06290">
        <w:rPr>
          <w:rFonts w:cs="Times New Roman"/>
          <w:noProof/>
        </w:rPr>
        <w:t>(11), 3067–3086. https://doi.org/10.1016/j.jbankfin.2006.05.003</w:t>
      </w:r>
    </w:p>
    <w:p w14:paraId="3B0F2C05"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Weiss, J. E. S. A. (1981). Credit Rationing in Markets with Imperfect Information. </w:t>
      </w:r>
      <w:r w:rsidRPr="00B06290">
        <w:rPr>
          <w:rFonts w:cs="Times New Roman"/>
          <w:i/>
          <w:iCs/>
          <w:noProof/>
        </w:rPr>
        <w:t>The American Economic Review</w:t>
      </w:r>
      <w:r w:rsidRPr="00B06290">
        <w:rPr>
          <w:rFonts w:cs="Times New Roman"/>
          <w:noProof/>
        </w:rPr>
        <w:t xml:space="preserve">, </w:t>
      </w:r>
      <w:r w:rsidRPr="00B06290">
        <w:rPr>
          <w:rFonts w:cs="Times New Roman"/>
          <w:i/>
          <w:iCs/>
          <w:noProof/>
        </w:rPr>
        <w:t>71</w:t>
      </w:r>
      <w:r w:rsidRPr="00B06290">
        <w:rPr>
          <w:rFonts w:cs="Times New Roman"/>
          <w:noProof/>
        </w:rPr>
        <w:t>(3), 393–410.</w:t>
      </w:r>
    </w:p>
    <w:p w14:paraId="501886D2" w14:textId="77777777" w:rsidR="00B06290" w:rsidRPr="00B06290" w:rsidRDefault="00B06290" w:rsidP="002E0667">
      <w:pPr>
        <w:widowControl w:val="0"/>
        <w:autoSpaceDE w:val="0"/>
        <w:autoSpaceDN w:val="0"/>
        <w:adjustRightInd w:val="0"/>
        <w:spacing w:after="0" w:line="240" w:lineRule="auto"/>
        <w:ind w:left="480" w:hanging="480"/>
        <w:rPr>
          <w:rFonts w:cs="Times New Roman"/>
          <w:noProof/>
        </w:rPr>
      </w:pPr>
      <w:r w:rsidRPr="00B06290">
        <w:rPr>
          <w:rFonts w:cs="Times New Roman"/>
          <w:noProof/>
        </w:rPr>
        <w:t xml:space="preserve">Wooldridge, J. M. (2020). Introductory Econometrics: A Modern Approach. In </w:t>
      </w:r>
      <w:r w:rsidRPr="00B06290">
        <w:rPr>
          <w:rFonts w:cs="Times New Roman"/>
          <w:i/>
          <w:iCs/>
          <w:noProof/>
        </w:rPr>
        <w:t>Cengage Learning</w:t>
      </w:r>
      <w:r w:rsidRPr="00B06290">
        <w:rPr>
          <w:rFonts w:cs="Times New Roman"/>
          <w:noProof/>
        </w:rPr>
        <w:t xml:space="preserve"> (7th ed, p. 848).</w:t>
      </w:r>
    </w:p>
    <w:p w14:paraId="1E292596" w14:textId="20EDDA60" w:rsidR="0057361A" w:rsidRPr="0057361A" w:rsidRDefault="00FA211B" w:rsidP="002E0667">
      <w:pPr>
        <w:spacing w:after="0" w:line="240" w:lineRule="auto"/>
        <w:jc w:val="both"/>
        <w:rPr>
          <w:rFonts w:eastAsia="Times New Roman" w:cs="Times New Roman"/>
          <w:szCs w:val="24"/>
        </w:rPr>
      </w:pPr>
      <w:r>
        <w:fldChar w:fldCharType="end"/>
      </w:r>
      <w:r w:rsidR="0057361A" w:rsidRPr="0057361A">
        <w:rPr>
          <w:rFonts w:eastAsia="Times New Roman" w:cs="Times New Roman"/>
          <w:szCs w:val="24"/>
        </w:rPr>
        <w:t xml:space="preserve"> </w:t>
      </w:r>
    </w:p>
    <w:p w14:paraId="5B4BCA7C" w14:textId="77777777" w:rsidR="00744CFB" w:rsidRPr="009612F2" w:rsidRDefault="00715989" w:rsidP="002E0667">
      <w:pPr>
        <w:pStyle w:val="Heading1"/>
        <w:spacing w:before="0" w:after="0" w:line="240" w:lineRule="auto"/>
      </w:pPr>
      <w:r w:rsidRPr="009612F2">
        <w:t>Appendix</w:t>
      </w:r>
    </w:p>
    <w:p w14:paraId="7CAC9450" w14:textId="549EA535" w:rsidR="009F2934" w:rsidRPr="00B601E2" w:rsidRDefault="00CA1648" w:rsidP="002E0667">
      <w:pPr>
        <w:pStyle w:val="Heading2"/>
        <w:spacing w:before="0" w:after="0" w:line="240" w:lineRule="auto"/>
        <w:rPr>
          <w:rFonts w:cs="Times New Roman"/>
          <w:color w:val="auto"/>
        </w:rPr>
      </w:pPr>
      <w:r>
        <w:rPr>
          <w:rFonts w:cs="Times New Roman"/>
          <w:color w:val="auto"/>
        </w:rPr>
        <w:t>Appendix A</w:t>
      </w:r>
      <w:r w:rsidR="009F2934" w:rsidRPr="00B601E2">
        <w:rPr>
          <w:rFonts w:cs="Times New Roman"/>
          <w:color w:val="auto"/>
        </w:rPr>
        <w:t>. Calculation and interpretation notes</w:t>
      </w:r>
    </w:p>
    <w:p w14:paraId="03C2BE7F" w14:textId="77777777" w:rsidR="009F2934" w:rsidRPr="009F2934" w:rsidRDefault="009F2934" w:rsidP="002E0667">
      <w:pPr>
        <w:spacing w:after="0" w:line="240" w:lineRule="auto"/>
        <w:ind w:firstLine="425"/>
        <w:jc w:val="both"/>
        <w:rPr>
          <w:sz w:val="22"/>
        </w:rPr>
      </w:pPr>
      <w:r w:rsidRPr="009F2934">
        <w:rPr>
          <w:sz w:val="22"/>
        </w:rPr>
        <w:t>The provincial total obtained by summing the displayed province values is 39.312 million merchants. Minor differences from a rounded national total of 39 million arise from rounding in the source chart.</w:t>
      </w:r>
    </w:p>
    <w:p w14:paraId="6112C44F" w14:textId="77777777" w:rsidR="009F2934" w:rsidRPr="009F2934" w:rsidRDefault="009F2934" w:rsidP="002E0667">
      <w:pPr>
        <w:spacing w:after="0" w:line="240" w:lineRule="auto"/>
        <w:ind w:firstLine="425"/>
        <w:jc w:val="both"/>
        <w:rPr>
          <w:sz w:val="22"/>
        </w:rPr>
      </w:pPr>
      <w:r w:rsidRPr="009F2934">
        <w:rPr>
          <w:sz w:val="22"/>
        </w:rPr>
        <w:t>The HHI is calculated from provincial percentage shares. It is used here as a spatial-concentration statistic and not as a competition-law measure of payment-service-provider concentration.</w:t>
      </w:r>
    </w:p>
    <w:p w14:paraId="2801F10E" w14:textId="77777777" w:rsidR="009F2934" w:rsidRPr="009F2934" w:rsidRDefault="009F2934" w:rsidP="002E0667">
      <w:pPr>
        <w:spacing w:after="0" w:line="240" w:lineRule="auto"/>
        <w:ind w:firstLine="425"/>
        <w:jc w:val="both"/>
        <w:rPr>
          <w:sz w:val="22"/>
        </w:rPr>
      </w:pPr>
      <w:r w:rsidRPr="009F2934">
        <w:rPr>
          <w:sz w:val="22"/>
        </w:rPr>
        <w:t>The Gini coefficient summarizes inequality in absolute provincial merchant counts. It does not adjust for population, number of MSMEs, economic size, or urbanization.</w:t>
      </w:r>
    </w:p>
    <w:p w14:paraId="6D895E34" w14:textId="77777777" w:rsidR="009F2934" w:rsidRPr="009F2934" w:rsidRDefault="009F2934" w:rsidP="002E0667">
      <w:pPr>
        <w:spacing w:after="0" w:line="240" w:lineRule="auto"/>
        <w:ind w:firstLine="425"/>
        <w:jc w:val="both"/>
        <w:rPr>
          <w:sz w:val="22"/>
        </w:rPr>
      </w:pPr>
      <w:r w:rsidRPr="009F2934">
        <w:rPr>
          <w:sz w:val="22"/>
        </w:rPr>
        <w:t>The Q2 2024 transaction volume and value are implied by reversing the reported Q2 2025 year-on-year growth rates: Q2 2024 = Q2 2025 / (1 + growth rate).</w:t>
      </w:r>
    </w:p>
    <w:p w14:paraId="49EFF2F7" w14:textId="77777777" w:rsidR="009F2934" w:rsidRPr="009F2934" w:rsidRDefault="009F2934" w:rsidP="002E0667">
      <w:pPr>
        <w:spacing w:after="0" w:line="240" w:lineRule="auto"/>
        <w:ind w:firstLine="425"/>
        <w:jc w:val="both"/>
        <w:rPr>
          <w:sz w:val="22"/>
        </w:rPr>
      </w:pPr>
      <w:r w:rsidRPr="009F2934">
        <w:rPr>
          <w:sz w:val="22"/>
        </w:rPr>
        <w:t>The consumer series is transcribed from the supplied quarterly chart and reported in rounded millions. It is suitable for descriptive visualization but not for precision econometrics.</w:t>
      </w:r>
    </w:p>
    <w:p w14:paraId="1548D429" w14:textId="77777777" w:rsidR="009F2934" w:rsidRPr="009F2934" w:rsidRDefault="009F2934" w:rsidP="002E0667">
      <w:pPr>
        <w:spacing w:after="0" w:line="240" w:lineRule="auto"/>
        <w:ind w:firstLine="425"/>
        <w:jc w:val="both"/>
        <w:rPr>
          <w:sz w:val="22"/>
        </w:rPr>
      </w:pPr>
      <w:r w:rsidRPr="009F2934">
        <w:rPr>
          <w:sz w:val="22"/>
        </w:rPr>
        <w:t>The 2025 MSME estimates are included solely to maintain the 2020-2025 analytical frame. Correlations are exploratory and should be recalculated when official comparable figures become available.</w:t>
      </w:r>
    </w:p>
    <w:p w14:paraId="43503003" w14:textId="544F6A3C" w:rsidR="00744CFB" w:rsidRPr="00611403" w:rsidRDefault="00744CFB" w:rsidP="002E0667">
      <w:pPr>
        <w:spacing w:after="0" w:line="240" w:lineRule="auto"/>
        <w:jc w:val="both"/>
        <w:rPr>
          <w:rFonts w:cs="Times New Roman"/>
          <w:szCs w:val="24"/>
        </w:rPr>
      </w:pPr>
    </w:p>
    <w:p w14:paraId="764EB6B5" w14:textId="77777777" w:rsidR="008D57A7" w:rsidRPr="00611403" w:rsidRDefault="008D57A7" w:rsidP="002E0667">
      <w:pPr>
        <w:spacing w:after="0" w:line="240" w:lineRule="auto"/>
        <w:jc w:val="both"/>
        <w:rPr>
          <w:rFonts w:cs="Times New Roman"/>
          <w:szCs w:val="24"/>
        </w:rPr>
      </w:pPr>
    </w:p>
    <w:p w14:paraId="44C432DE" w14:textId="77777777" w:rsidR="008D57A7" w:rsidRPr="00611403" w:rsidRDefault="008D57A7" w:rsidP="002E0667">
      <w:pPr>
        <w:spacing w:after="0" w:line="240" w:lineRule="auto"/>
        <w:jc w:val="both"/>
        <w:rPr>
          <w:rFonts w:cs="Times New Roman"/>
          <w:szCs w:val="24"/>
        </w:rPr>
      </w:pPr>
    </w:p>
    <w:p w14:paraId="35E044E4" w14:textId="77777777" w:rsidR="008D57A7" w:rsidRPr="00611403" w:rsidRDefault="008D57A7" w:rsidP="002E0667">
      <w:pPr>
        <w:spacing w:after="0" w:line="240" w:lineRule="auto"/>
        <w:jc w:val="both"/>
        <w:rPr>
          <w:rFonts w:cs="Times New Roman"/>
          <w:szCs w:val="24"/>
        </w:rPr>
      </w:pPr>
    </w:p>
    <w:sectPr w:rsidR="008D57A7" w:rsidRPr="00611403" w:rsidSect="00F66707">
      <w:headerReference w:type="default" r:id="rId14"/>
      <w:footerReference w:type="default" r:id="rId15"/>
      <w:pgSz w:w="11906" w:h="16838" w:code="9"/>
      <w:pgMar w:top="1701" w:right="1701" w:bottom="1701" w:left="1701" w:header="720" w:footer="720" w:gutter="0"/>
      <w:pgNumType w:start="3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AB785" w14:textId="77777777" w:rsidR="004D20D7" w:rsidRDefault="004D20D7">
      <w:pPr>
        <w:spacing w:after="0" w:line="240" w:lineRule="auto"/>
      </w:pPr>
      <w:r>
        <w:separator/>
      </w:r>
    </w:p>
  </w:endnote>
  <w:endnote w:type="continuationSeparator" w:id="0">
    <w:p w14:paraId="5F25E0CB" w14:textId="77777777" w:rsidR="004D20D7" w:rsidRDefault="004D2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ek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1602559"/>
      <w:docPartObj>
        <w:docPartGallery w:val="Page Numbers (Bottom of Page)"/>
        <w:docPartUnique/>
      </w:docPartObj>
    </w:sdtPr>
    <w:sdtContent>
      <w:sdt>
        <w:sdtPr>
          <w:id w:val="-1769616900"/>
          <w:docPartObj>
            <w:docPartGallery w:val="Page Numbers (Top of Page)"/>
            <w:docPartUnique/>
          </w:docPartObj>
        </w:sdtPr>
        <w:sdtContent>
          <w:p w14:paraId="77C864B7" w14:textId="668C5C8A" w:rsidR="00F66707" w:rsidRDefault="00F66707">
            <w:pPr>
              <w:pStyle w:val="Footer"/>
              <w:jc w:val="right"/>
            </w:pPr>
            <w:r w:rsidRPr="00F66707">
              <w:rPr>
                <w:b/>
                <w:bCs/>
              </w:rPr>
              <w:t xml:space="preserve">Page </w:t>
            </w:r>
            <w:r w:rsidRPr="00F66707">
              <w:rPr>
                <w:b/>
                <w:bCs/>
                <w:szCs w:val="24"/>
              </w:rPr>
              <w:fldChar w:fldCharType="begin"/>
            </w:r>
            <w:r w:rsidRPr="00F66707">
              <w:rPr>
                <w:b/>
                <w:bCs/>
              </w:rPr>
              <w:instrText xml:space="preserve"> PAGE </w:instrText>
            </w:r>
            <w:r w:rsidRPr="00F66707">
              <w:rPr>
                <w:b/>
                <w:bCs/>
                <w:szCs w:val="24"/>
              </w:rPr>
              <w:fldChar w:fldCharType="separate"/>
            </w:r>
            <w:r w:rsidRPr="00F66707">
              <w:rPr>
                <w:b/>
                <w:bCs/>
                <w:noProof/>
              </w:rPr>
              <w:t>2</w:t>
            </w:r>
            <w:r w:rsidRPr="00F66707">
              <w:rPr>
                <w:b/>
                <w:bCs/>
                <w:szCs w:val="24"/>
              </w:rPr>
              <w:fldChar w:fldCharType="end"/>
            </w:r>
            <w:r w:rsidRPr="00F66707">
              <w:rPr>
                <w:b/>
                <w:bCs/>
              </w:rPr>
              <w:t xml:space="preserve"> of 58</w:t>
            </w:r>
          </w:p>
        </w:sdtContent>
      </w:sdt>
    </w:sdtContent>
  </w:sdt>
  <w:p w14:paraId="190C41CD" w14:textId="77777777" w:rsidR="000F7951" w:rsidRDefault="000F795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EA1A2" w14:textId="77777777" w:rsidR="004D20D7" w:rsidRDefault="004D20D7">
      <w:pPr>
        <w:spacing w:after="0" w:line="240" w:lineRule="auto"/>
      </w:pPr>
      <w:r>
        <w:separator/>
      </w:r>
    </w:p>
  </w:footnote>
  <w:footnote w:type="continuationSeparator" w:id="0">
    <w:p w14:paraId="461208C0" w14:textId="77777777" w:rsidR="004D20D7" w:rsidRDefault="004D20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DA04E" w14:textId="77777777" w:rsidR="00DD7793" w:rsidRPr="00DD7793" w:rsidRDefault="00DD7793" w:rsidP="00DD7793">
    <w:pPr>
      <w:pBdr>
        <w:top w:val="nil"/>
        <w:left w:val="nil"/>
        <w:bottom w:val="nil"/>
        <w:right w:val="nil"/>
        <w:between w:val="nil"/>
      </w:pBdr>
      <w:tabs>
        <w:tab w:val="center" w:pos="4680"/>
        <w:tab w:val="right" w:pos="9360"/>
      </w:tabs>
      <w:spacing w:after="0" w:line="240" w:lineRule="auto"/>
      <w:rPr>
        <w:rFonts w:eastAsia="Times New Roman" w:cs="Times New Roman"/>
        <w:color w:val="000000"/>
        <w:szCs w:val="24"/>
        <w:lang w:val="id-ID"/>
      </w:rPr>
    </w:pPr>
    <w:r w:rsidRPr="00DD7793">
      <w:rPr>
        <w:rFonts w:eastAsia="Times New Roman" w:cs="Times New Roman"/>
        <w:noProof/>
        <w:szCs w:val="24"/>
        <w:lang w:val="id-ID"/>
      </w:rPr>
      <w:drawing>
        <wp:anchor distT="0" distB="0" distL="0" distR="0" simplePos="0" relativeHeight="251659264" behindDoc="1" locked="0" layoutInCell="1" hidden="0" allowOverlap="1" wp14:anchorId="3009E861" wp14:editId="3FE22DC5">
          <wp:simplePos x="0" y="0"/>
          <wp:positionH relativeFrom="column">
            <wp:posOffset>3955415</wp:posOffset>
          </wp:positionH>
          <wp:positionV relativeFrom="paragraph">
            <wp:posOffset>-437515</wp:posOffset>
          </wp:positionV>
          <wp:extent cx="1295400" cy="1057275"/>
          <wp:effectExtent l="0" t="0" r="0" b="0"/>
          <wp:wrapNone/>
          <wp:docPr id="160807638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295400" cy="1057275"/>
                  </a:xfrm>
                  <a:prstGeom prst="rect">
                    <a:avLst/>
                  </a:prstGeom>
                  <a:ln/>
                </pic:spPr>
              </pic:pic>
            </a:graphicData>
          </a:graphic>
        </wp:anchor>
      </w:drawing>
    </w:r>
    <w:r w:rsidRPr="00DD7793">
      <w:rPr>
        <w:rFonts w:eastAsia="Times New Roman" w:cs="Times New Roman"/>
        <w:noProof/>
        <w:szCs w:val="24"/>
        <w:lang w:val="id-ID"/>
      </w:rPr>
      <mc:AlternateContent>
        <mc:Choice Requires="wps">
          <w:drawing>
            <wp:anchor distT="0" distB="0" distL="0" distR="0" simplePos="0" relativeHeight="251660288" behindDoc="1" locked="0" layoutInCell="1" hidden="0" allowOverlap="1" wp14:anchorId="214E97C6" wp14:editId="5F213D40">
              <wp:simplePos x="0" y="0"/>
              <wp:positionH relativeFrom="column">
                <wp:posOffset>-279399</wp:posOffset>
              </wp:positionH>
              <wp:positionV relativeFrom="paragraph">
                <wp:posOffset>203200</wp:posOffset>
              </wp:positionV>
              <wp:extent cx="3495675" cy="619125"/>
              <wp:effectExtent l="0" t="0" r="0" b="0"/>
              <wp:wrapNone/>
              <wp:docPr id="1608076383" name="Rectangle 1608076383"/>
              <wp:cNvGraphicFramePr/>
              <a:graphic xmlns:a="http://schemas.openxmlformats.org/drawingml/2006/main">
                <a:graphicData uri="http://schemas.microsoft.com/office/word/2010/wordprocessingShape">
                  <wps:wsp>
                    <wps:cNvSpPr/>
                    <wps:spPr>
                      <a:xfrm>
                        <a:off x="3602925" y="3475200"/>
                        <a:ext cx="3486150" cy="609600"/>
                      </a:xfrm>
                      <a:prstGeom prst="rect">
                        <a:avLst/>
                      </a:prstGeom>
                      <a:noFill/>
                      <a:ln>
                        <a:noFill/>
                      </a:ln>
                    </wps:spPr>
                    <wps:txbx>
                      <w:txbxContent>
                        <w:p w14:paraId="7CFCF2A3" w14:textId="77777777" w:rsidR="00DD7793" w:rsidRDefault="00DD7793" w:rsidP="00DD7793">
                          <w:pPr>
                            <w:spacing w:after="0" w:line="240" w:lineRule="auto"/>
                            <w:ind w:left="864" w:right="864"/>
                            <w:jc w:val="center"/>
                            <w:textDirection w:val="btLr"/>
                          </w:pPr>
                          <w:r>
                            <w:rPr>
                              <w:rFonts w:ascii="Arial" w:eastAsia="Arial" w:hAnsi="Arial" w:cs="Arial"/>
                              <w:b/>
                              <w:i/>
                              <w:color w:val="4F81BD"/>
                              <w:sz w:val="28"/>
                            </w:rPr>
                            <w:t>Mount</w:t>
                          </w:r>
                          <w:r>
                            <w:rPr>
                              <w:rFonts w:ascii="Arial" w:eastAsia="Arial" w:hAnsi="Arial" w:cs="Arial"/>
                              <w:i/>
                              <w:color w:val="4F81BD"/>
                              <w:sz w:val="28"/>
                            </w:rPr>
                            <w:t xml:space="preserve"> Hope Economic Journal (MEGA)</w:t>
                          </w:r>
                        </w:p>
                      </w:txbxContent>
                    </wps:txbx>
                    <wps:bodyPr spcFirstLastPara="1" wrap="square" lIns="91425" tIns="45700" rIns="91425" bIns="45700" anchor="t" anchorCtr="0">
                      <a:noAutofit/>
                    </wps:bodyPr>
                  </wps:wsp>
                </a:graphicData>
              </a:graphic>
            </wp:anchor>
          </w:drawing>
        </mc:Choice>
        <mc:Fallback>
          <w:pict>
            <v:rect w14:anchorId="214E97C6" id="Rectangle 1608076383" o:spid="_x0000_s1026" style="position:absolute;margin-left:-22pt;margin-top:16pt;width:275.25pt;height:48.7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" filled="f" stroked="f">
              <v:textbox inset="2.53958mm,1.2694mm,2.53958mm,1.2694mm">
                <w:txbxContent>
                  <w:p w14:paraId="7CFCF2A3" w14:textId="77777777" w:rsidR="00DD7793" w:rsidRDefault="00DD7793" w:rsidP="00DD7793">
                    <w:pPr>
                      <w:spacing w:after="0" w:line="240" w:lineRule="auto"/>
                      <w:ind w:left="864" w:right="864"/>
                      <w:jc w:val="center"/>
                      <w:textDirection w:val="btLr"/>
                    </w:pPr>
                    <w:r>
                      <w:rPr>
                        <w:rFonts w:ascii="Arial" w:eastAsia="Arial" w:hAnsi="Arial" w:cs="Arial"/>
                        <w:b/>
                        <w:i/>
                        <w:color w:val="4F81BD"/>
                        <w:sz w:val="28"/>
                      </w:rPr>
                      <w:t>Mount</w:t>
                    </w:r>
                    <w:r>
                      <w:rPr>
                        <w:rFonts w:ascii="Arial" w:eastAsia="Arial" w:hAnsi="Arial" w:cs="Arial"/>
                        <w:i/>
                        <w:color w:val="4F81BD"/>
                        <w:sz w:val="28"/>
                      </w:rPr>
                      <w:t xml:space="preserve"> Hope Economic Journal (MEGA)</w:t>
                    </w:r>
                  </w:p>
                </w:txbxContent>
              </v:textbox>
            </v:rect>
          </w:pict>
        </mc:Fallback>
      </mc:AlternateContent>
    </w:r>
    <w:r w:rsidRPr="00DD7793">
      <w:rPr>
        <w:rFonts w:eastAsia="Times New Roman" w:cs="Times New Roman"/>
        <w:noProof/>
        <w:szCs w:val="24"/>
        <w:lang w:val="id-ID"/>
      </w:rPr>
      <mc:AlternateContent>
        <mc:Choice Requires="wps">
          <w:drawing>
            <wp:anchor distT="0" distB="0" distL="114300" distR="114300" simplePos="0" relativeHeight="251661312" behindDoc="0" locked="0" layoutInCell="1" hidden="0" allowOverlap="1" wp14:anchorId="1937B48B" wp14:editId="0915E861">
              <wp:simplePos x="0" y="0"/>
              <wp:positionH relativeFrom="column">
                <wp:posOffset>-12699</wp:posOffset>
              </wp:positionH>
              <wp:positionV relativeFrom="paragraph">
                <wp:posOffset>-253999</wp:posOffset>
              </wp:positionV>
              <wp:extent cx="2606675" cy="482600"/>
              <wp:effectExtent l="0" t="0" r="0" b="0"/>
              <wp:wrapNone/>
              <wp:docPr id="1608076384" name="Rectangle 1608076384"/>
              <wp:cNvGraphicFramePr/>
              <a:graphic xmlns:a="http://schemas.openxmlformats.org/drawingml/2006/main">
                <a:graphicData uri="http://schemas.microsoft.com/office/word/2010/wordprocessingShape">
                  <wps:wsp>
                    <wps:cNvSpPr/>
                    <wps:spPr>
                      <a:xfrm>
                        <a:off x="4055363" y="3551400"/>
                        <a:ext cx="2581275" cy="457200"/>
                      </a:xfrm>
                      <a:prstGeom prst="rect">
                        <a:avLst/>
                      </a:prstGeom>
                      <a:solidFill>
                        <a:srgbClr val="FFFFFF"/>
                      </a:solidFill>
                      <a:ln w="25400" cap="flat" cmpd="sng">
                        <a:solidFill>
                          <a:srgbClr val="FFFFFF"/>
                        </a:solidFill>
                        <a:prstDash val="solid"/>
                        <a:round/>
                        <a:headEnd type="none" w="sm" len="sm"/>
                        <a:tailEnd type="none" w="sm" len="sm"/>
                      </a:ln>
                    </wps:spPr>
                    <wps:txbx>
                      <w:txbxContent>
                        <w:p w14:paraId="7530154D" w14:textId="77777777" w:rsidR="00DD7793" w:rsidRDefault="00DD7793" w:rsidP="00DD7793">
                          <w:pPr>
                            <w:spacing w:after="0" w:line="240" w:lineRule="auto"/>
                            <w:jc w:val="center"/>
                            <w:textDirection w:val="btLr"/>
                          </w:pPr>
                          <w:r>
                            <w:rPr>
                              <w:rFonts w:ascii="Teko" w:eastAsia="Teko" w:hAnsi="Teko" w:cs="Teko"/>
                              <w:b/>
                              <w:i/>
                              <w:color w:val="000000"/>
                              <w:sz w:val="22"/>
                            </w:rPr>
                            <w:t>E-ISSN: 3025-8758</w:t>
                          </w:r>
                        </w:p>
                        <w:p w14:paraId="50AE2C4C" w14:textId="77777777" w:rsidR="00DD7793" w:rsidRDefault="00DD7793" w:rsidP="00DD7793">
                          <w:pPr>
                            <w:spacing w:after="0" w:line="240" w:lineRule="auto"/>
                            <w:jc w:val="center"/>
                            <w:textDirection w:val="btLr"/>
                          </w:pPr>
                          <w:r>
                            <w:rPr>
                              <w:rFonts w:ascii="Teko" w:eastAsia="Teko" w:hAnsi="Teko" w:cs="Teko"/>
                              <w:b/>
                              <w:i/>
                              <w:color w:val="000000"/>
                              <w:sz w:val="22"/>
                            </w:rPr>
                            <w:t>P-ISSN: 3025-9290</w:t>
                          </w:r>
                        </w:p>
                      </w:txbxContent>
                    </wps:txbx>
                    <wps:bodyPr spcFirstLastPara="1" wrap="square" lIns="91425" tIns="45700" rIns="91425" bIns="45700" anchor="ctr" anchorCtr="0">
                      <a:noAutofit/>
                    </wps:bodyPr>
                  </wps:wsp>
                </a:graphicData>
              </a:graphic>
            </wp:anchor>
          </w:drawing>
        </mc:Choice>
        <mc:Fallback>
          <w:pict>
            <v:rect w14:anchorId="1937B48B" id="Rectangle 1608076384" o:spid="_x0000_s1027" style="position:absolute;margin-left:-1pt;margin-top:-20pt;width:205.25pt;height:3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" strokecolor="white" strokeweight="2pt">
              <v:stroke startarrowwidth="narrow" startarrowlength="short" endarrowwidth="narrow" endarrowlength="short" joinstyle="round"/>
              <v:textbox inset="2.53958mm,1.2694mm,2.53958mm,1.2694mm">
                <w:txbxContent>
                  <w:p w14:paraId="7530154D" w14:textId="77777777" w:rsidR="00DD7793" w:rsidRDefault="00DD7793" w:rsidP="00DD7793">
                    <w:pPr>
                      <w:spacing w:after="0" w:line="240" w:lineRule="auto"/>
                      <w:jc w:val="center"/>
                      <w:textDirection w:val="btLr"/>
                    </w:pPr>
                    <w:r>
                      <w:rPr>
                        <w:rFonts w:ascii="Teko" w:eastAsia="Teko" w:hAnsi="Teko" w:cs="Teko"/>
                        <w:b/>
                        <w:i/>
                        <w:color w:val="000000"/>
                        <w:sz w:val="22"/>
                      </w:rPr>
                      <w:t>E-ISSN: 3025-8758</w:t>
                    </w:r>
                  </w:p>
                  <w:p w14:paraId="50AE2C4C" w14:textId="77777777" w:rsidR="00DD7793" w:rsidRDefault="00DD7793" w:rsidP="00DD7793">
                    <w:pPr>
                      <w:spacing w:after="0" w:line="240" w:lineRule="auto"/>
                      <w:jc w:val="center"/>
                      <w:textDirection w:val="btLr"/>
                    </w:pPr>
                    <w:r>
                      <w:rPr>
                        <w:rFonts w:ascii="Teko" w:eastAsia="Teko" w:hAnsi="Teko" w:cs="Teko"/>
                        <w:b/>
                        <w:i/>
                        <w:color w:val="000000"/>
                        <w:sz w:val="22"/>
                      </w:rPr>
                      <w:t>P-ISSN: 3025-9290</w:t>
                    </w:r>
                  </w:p>
                </w:txbxContent>
              </v:textbox>
            </v:rect>
          </w:pict>
        </mc:Fallback>
      </mc:AlternateContent>
    </w:r>
  </w:p>
  <w:p w14:paraId="3B6BC24D" w14:textId="77777777" w:rsidR="00DD7793" w:rsidRPr="00DD7793" w:rsidRDefault="00DD7793" w:rsidP="00DD7793">
    <w:pPr>
      <w:pBdr>
        <w:top w:val="nil"/>
        <w:left w:val="nil"/>
        <w:bottom w:val="nil"/>
        <w:right w:val="nil"/>
        <w:between w:val="nil"/>
      </w:pBdr>
      <w:tabs>
        <w:tab w:val="center" w:pos="4680"/>
        <w:tab w:val="right" w:pos="9360"/>
      </w:tabs>
      <w:spacing w:after="0" w:line="240" w:lineRule="auto"/>
      <w:jc w:val="right"/>
      <w:rPr>
        <w:rFonts w:eastAsia="Times New Roman" w:cs="Times New Roman"/>
        <w:color w:val="000000"/>
        <w:szCs w:val="24"/>
        <w:lang w:val="id-ID"/>
      </w:rPr>
    </w:pPr>
  </w:p>
  <w:p w14:paraId="67CBBC48" w14:textId="77777777" w:rsidR="00DD7793" w:rsidRDefault="00DD77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FD764B5"/>
    <w:multiLevelType w:val="multilevel"/>
    <w:tmpl w:val="9B86F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2F317E7"/>
    <w:multiLevelType w:val="multilevel"/>
    <w:tmpl w:val="6C44D5A4"/>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2032004">
    <w:abstractNumId w:val="8"/>
  </w:num>
  <w:num w:numId="2" w16cid:durableId="1702782692">
    <w:abstractNumId w:val="6"/>
  </w:num>
  <w:num w:numId="3" w16cid:durableId="2098791453">
    <w:abstractNumId w:val="5"/>
  </w:num>
  <w:num w:numId="4" w16cid:durableId="1906404051">
    <w:abstractNumId w:val="4"/>
  </w:num>
  <w:num w:numId="5" w16cid:durableId="1635327329">
    <w:abstractNumId w:val="7"/>
  </w:num>
  <w:num w:numId="6" w16cid:durableId="1970164653">
    <w:abstractNumId w:val="3"/>
  </w:num>
  <w:num w:numId="7" w16cid:durableId="846745614">
    <w:abstractNumId w:val="2"/>
  </w:num>
  <w:num w:numId="8" w16cid:durableId="1870147784">
    <w:abstractNumId w:val="1"/>
  </w:num>
  <w:num w:numId="9" w16cid:durableId="588318690">
    <w:abstractNumId w:val="0"/>
  </w:num>
  <w:num w:numId="10" w16cid:durableId="101809128">
    <w:abstractNumId w:val="9"/>
  </w:num>
  <w:num w:numId="11" w16cid:durableId="17534329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2A0B"/>
    <w:rsid w:val="00014382"/>
    <w:rsid w:val="00030511"/>
    <w:rsid w:val="00034616"/>
    <w:rsid w:val="0005309B"/>
    <w:rsid w:val="0006063C"/>
    <w:rsid w:val="00062B5F"/>
    <w:rsid w:val="00072BEF"/>
    <w:rsid w:val="000749FA"/>
    <w:rsid w:val="0007598D"/>
    <w:rsid w:val="0008304B"/>
    <w:rsid w:val="00094286"/>
    <w:rsid w:val="000A2AE5"/>
    <w:rsid w:val="000A65E4"/>
    <w:rsid w:val="000C287C"/>
    <w:rsid w:val="000C7B36"/>
    <w:rsid w:val="000F712A"/>
    <w:rsid w:val="000F7951"/>
    <w:rsid w:val="00114931"/>
    <w:rsid w:val="0012151C"/>
    <w:rsid w:val="00122169"/>
    <w:rsid w:val="0015074B"/>
    <w:rsid w:val="00172518"/>
    <w:rsid w:val="001B77C9"/>
    <w:rsid w:val="001C4637"/>
    <w:rsid w:val="001C6079"/>
    <w:rsid w:val="002100B2"/>
    <w:rsid w:val="00224568"/>
    <w:rsid w:val="0023550D"/>
    <w:rsid w:val="00241FEB"/>
    <w:rsid w:val="002427D2"/>
    <w:rsid w:val="00243272"/>
    <w:rsid w:val="0029639D"/>
    <w:rsid w:val="002978FC"/>
    <w:rsid w:val="002A1BC9"/>
    <w:rsid w:val="002B4264"/>
    <w:rsid w:val="002C2692"/>
    <w:rsid w:val="002C2C33"/>
    <w:rsid w:val="002D2AF4"/>
    <w:rsid w:val="002E0667"/>
    <w:rsid w:val="002E0AFE"/>
    <w:rsid w:val="002E6CDB"/>
    <w:rsid w:val="002F2134"/>
    <w:rsid w:val="003033EA"/>
    <w:rsid w:val="00324631"/>
    <w:rsid w:val="00326F90"/>
    <w:rsid w:val="0032758C"/>
    <w:rsid w:val="00334E2F"/>
    <w:rsid w:val="0033527C"/>
    <w:rsid w:val="00335325"/>
    <w:rsid w:val="003458E5"/>
    <w:rsid w:val="00356381"/>
    <w:rsid w:val="00360EC6"/>
    <w:rsid w:val="003715CA"/>
    <w:rsid w:val="003C33C1"/>
    <w:rsid w:val="003D2841"/>
    <w:rsid w:val="003D6E00"/>
    <w:rsid w:val="003E0A1D"/>
    <w:rsid w:val="003E629E"/>
    <w:rsid w:val="003F1BBE"/>
    <w:rsid w:val="00404CB3"/>
    <w:rsid w:val="004071F3"/>
    <w:rsid w:val="00412543"/>
    <w:rsid w:val="00434AB0"/>
    <w:rsid w:val="00446304"/>
    <w:rsid w:val="00480F57"/>
    <w:rsid w:val="004A7CBE"/>
    <w:rsid w:val="004B5D08"/>
    <w:rsid w:val="004D20D7"/>
    <w:rsid w:val="004E2211"/>
    <w:rsid w:val="005372F2"/>
    <w:rsid w:val="005436AC"/>
    <w:rsid w:val="00555D66"/>
    <w:rsid w:val="00571380"/>
    <w:rsid w:val="0057361A"/>
    <w:rsid w:val="00574F83"/>
    <w:rsid w:val="005D073A"/>
    <w:rsid w:val="005F4208"/>
    <w:rsid w:val="00611403"/>
    <w:rsid w:val="00616CF6"/>
    <w:rsid w:val="00625A22"/>
    <w:rsid w:val="006264F9"/>
    <w:rsid w:val="006359EF"/>
    <w:rsid w:val="006637A3"/>
    <w:rsid w:val="0066647C"/>
    <w:rsid w:val="00666E97"/>
    <w:rsid w:val="0067450E"/>
    <w:rsid w:val="00684BAF"/>
    <w:rsid w:val="006A2BC4"/>
    <w:rsid w:val="006F491C"/>
    <w:rsid w:val="00701693"/>
    <w:rsid w:val="0070343D"/>
    <w:rsid w:val="00705895"/>
    <w:rsid w:val="00715989"/>
    <w:rsid w:val="00717FED"/>
    <w:rsid w:val="00723F81"/>
    <w:rsid w:val="00725BE8"/>
    <w:rsid w:val="00734449"/>
    <w:rsid w:val="00744CFB"/>
    <w:rsid w:val="00763746"/>
    <w:rsid w:val="00767A77"/>
    <w:rsid w:val="00783E03"/>
    <w:rsid w:val="00784111"/>
    <w:rsid w:val="007A1986"/>
    <w:rsid w:val="007A58D0"/>
    <w:rsid w:val="007C0B83"/>
    <w:rsid w:val="007C2CAC"/>
    <w:rsid w:val="007C474F"/>
    <w:rsid w:val="007E0D97"/>
    <w:rsid w:val="007E7FDA"/>
    <w:rsid w:val="007F0FE1"/>
    <w:rsid w:val="007F2795"/>
    <w:rsid w:val="00802FDE"/>
    <w:rsid w:val="00806F8B"/>
    <w:rsid w:val="00810C2F"/>
    <w:rsid w:val="008241D3"/>
    <w:rsid w:val="00833BE5"/>
    <w:rsid w:val="00866907"/>
    <w:rsid w:val="00871832"/>
    <w:rsid w:val="008910E8"/>
    <w:rsid w:val="0089304D"/>
    <w:rsid w:val="008A6048"/>
    <w:rsid w:val="008A73B3"/>
    <w:rsid w:val="008A73C9"/>
    <w:rsid w:val="008B3E55"/>
    <w:rsid w:val="008B7C91"/>
    <w:rsid w:val="008C426A"/>
    <w:rsid w:val="008D57A7"/>
    <w:rsid w:val="008E3632"/>
    <w:rsid w:val="008F341A"/>
    <w:rsid w:val="009003B0"/>
    <w:rsid w:val="00900FD7"/>
    <w:rsid w:val="00913F04"/>
    <w:rsid w:val="009352F1"/>
    <w:rsid w:val="009612F2"/>
    <w:rsid w:val="0096299A"/>
    <w:rsid w:val="00982F69"/>
    <w:rsid w:val="0098444C"/>
    <w:rsid w:val="00985244"/>
    <w:rsid w:val="0099345F"/>
    <w:rsid w:val="009C6525"/>
    <w:rsid w:val="009C7275"/>
    <w:rsid w:val="009D3802"/>
    <w:rsid w:val="009E3D06"/>
    <w:rsid w:val="009E4D6C"/>
    <w:rsid w:val="009E612C"/>
    <w:rsid w:val="009E6F9F"/>
    <w:rsid w:val="009F2934"/>
    <w:rsid w:val="009F4C8A"/>
    <w:rsid w:val="00A01249"/>
    <w:rsid w:val="00A3602C"/>
    <w:rsid w:val="00A50E92"/>
    <w:rsid w:val="00A54690"/>
    <w:rsid w:val="00A6199F"/>
    <w:rsid w:val="00A643C5"/>
    <w:rsid w:val="00A66C42"/>
    <w:rsid w:val="00AA1D8D"/>
    <w:rsid w:val="00AA290B"/>
    <w:rsid w:val="00AA674B"/>
    <w:rsid w:val="00AB1CCE"/>
    <w:rsid w:val="00AE6299"/>
    <w:rsid w:val="00AE7BA1"/>
    <w:rsid w:val="00B05402"/>
    <w:rsid w:val="00B06290"/>
    <w:rsid w:val="00B10033"/>
    <w:rsid w:val="00B4397F"/>
    <w:rsid w:val="00B47730"/>
    <w:rsid w:val="00B601E2"/>
    <w:rsid w:val="00B77661"/>
    <w:rsid w:val="00B91248"/>
    <w:rsid w:val="00B9201E"/>
    <w:rsid w:val="00BA16C6"/>
    <w:rsid w:val="00BA4B15"/>
    <w:rsid w:val="00BC6DFF"/>
    <w:rsid w:val="00BE663F"/>
    <w:rsid w:val="00BF4940"/>
    <w:rsid w:val="00C04B70"/>
    <w:rsid w:val="00C11106"/>
    <w:rsid w:val="00C4440B"/>
    <w:rsid w:val="00C6327B"/>
    <w:rsid w:val="00C63A51"/>
    <w:rsid w:val="00C804CA"/>
    <w:rsid w:val="00C92875"/>
    <w:rsid w:val="00CA121F"/>
    <w:rsid w:val="00CA1648"/>
    <w:rsid w:val="00CA667F"/>
    <w:rsid w:val="00CA7021"/>
    <w:rsid w:val="00CB0664"/>
    <w:rsid w:val="00CB6DB9"/>
    <w:rsid w:val="00CB7D16"/>
    <w:rsid w:val="00CC34F8"/>
    <w:rsid w:val="00CE7617"/>
    <w:rsid w:val="00D00EB9"/>
    <w:rsid w:val="00D034F6"/>
    <w:rsid w:val="00D04C1A"/>
    <w:rsid w:val="00D11565"/>
    <w:rsid w:val="00D133C0"/>
    <w:rsid w:val="00D259A6"/>
    <w:rsid w:val="00D72032"/>
    <w:rsid w:val="00D8141A"/>
    <w:rsid w:val="00D92208"/>
    <w:rsid w:val="00DC7AC9"/>
    <w:rsid w:val="00DD5535"/>
    <w:rsid w:val="00DD7793"/>
    <w:rsid w:val="00E05EEE"/>
    <w:rsid w:val="00E16258"/>
    <w:rsid w:val="00E3590B"/>
    <w:rsid w:val="00E47E39"/>
    <w:rsid w:val="00E764BA"/>
    <w:rsid w:val="00E91A0F"/>
    <w:rsid w:val="00EA2A88"/>
    <w:rsid w:val="00EB69EF"/>
    <w:rsid w:val="00EC665C"/>
    <w:rsid w:val="00ED6E3B"/>
    <w:rsid w:val="00EF11D8"/>
    <w:rsid w:val="00F012B8"/>
    <w:rsid w:val="00F237B5"/>
    <w:rsid w:val="00F27174"/>
    <w:rsid w:val="00F33C01"/>
    <w:rsid w:val="00F34682"/>
    <w:rsid w:val="00F44753"/>
    <w:rsid w:val="00F61BC3"/>
    <w:rsid w:val="00F66707"/>
    <w:rsid w:val="00F82340"/>
    <w:rsid w:val="00FA211B"/>
    <w:rsid w:val="00FB52C9"/>
    <w:rsid w:val="00FB5410"/>
    <w:rsid w:val="00FC5A76"/>
    <w:rsid w:val="00FC693F"/>
    <w:rsid w:val="00FD588A"/>
    <w:rsid w:val="00FD699B"/>
    <w:rsid w:val="00FF00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657B92"/>
  <w14:defaultImageDpi w14:val="300"/>
  <w15:docId w15:val="{FF85004D-26DB-401F-A7F2-F3ED3F6A7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7C9"/>
    <w:pPr>
      <w:spacing w:after="120" w:line="360" w:lineRule="auto"/>
    </w:pPr>
    <w:rPr>
      <w:rFonts w:ascii="Times New Roman" w:hAnsi="Times New Roman"/>
      <w:sz w:val="24"/>
    </w:rPr>
  </w:style>
  <w:style w:type="paragraph" w:styleId="Heading1">
    <w:name w:val="heading 1"/>
    <w:basedOn w:val="Normal"/>
    <w:next w:val="Normal"/>
    <w:link w:val="Heading1Char"/>
    <w:uiPriority w:val="9"/>
    <w:qFormat/>
    <w:rsid w:val="00802FDE"/>
    <w:pPr>
      <w:keepNext/>
      <w:keepLines/>
      <w:spacing w:before="480"/>
      <w:outlineLvl w:val="0"/>
    </w:pPr>
    <w:rPr>
      <w:rFonts w:eastAsiaTheme="majorEastAsia" w:cstheme="majorBidi"/>
      <w:b/>
      <w:bCs/>
      <w:color w:val="000000"/>
      <w:szCs w:val="28"/>
    </w:rPr>
  </w:style>
  <w:style w:type="paragraph" w:styleId="Heading2">
    <w:name w:val="heading 2"/>
    <w:basedOn w:val="Normal"/>
    <w:next w:val="Normal"/>
    <w:link w:val="Heading2Char"/>
    <w:uiPriority w:val="9"/>
    <w:unhideWhenUsed/>
    <w:qFormat/>
    <w:rsid w:val="007F0FE1"/>
    <w:pPr>
      <w:keepNext/>
      <w:keepLines/>
      <w:spacing w:before="200"/>
      <w:outlineLvl w:val="1"/>
    </w:pPr>
    <w:rPr>
      <w:rFonts w:eastAsiaTheme="majorEastAsia"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i/>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E3590B"/>
    <w:pPr>
      <w:spacing w:after="0" w:line="240" w:lineRule="auto"/>
    </w:pPr>
    <w:rPr>
      <w:rFonts w:ascii="Times New Roman" w:hAnsi="Times New Roman"/>
      <w:b/>
      <w:sz w:val="24"/>
    </w:rPr>
  </w:style>
  <w:style w:type="character" w:customStyle="1" w:styleId="Heading1Char">
    <w:name w:val="Heading 1 Char"/>
    <w:basedOn w:val="DefaultParagraphFont"/>
    <w:link w:val="Heading1"/>
    <w:uiPriority w:val="9"/>
    <w:rsid w:val="00802FDE"/>
    <w:rPr>
      <w:rFonts w:ascii="Times New Roman" w:eastAsiaTheme="majorEastAsia" w:hAnsi="Times New Roman" w:cstheme="majorBidi"/>
      <w:b/>
      <w:bCs/>
      <w:color w:val="000000"/>
      <w:sz w:val="24"/>
      <w:szCs w:val="28"/>
    </w:rPr>
  </w:style>
  <w:style w:type="character" w:customStyle="1" w:styleId="Heading2Char">
    <w:name w:val="Heading 2 Char"/>
    <w:basedOn w:val="DefaultParagraphFont"/>
    <w:link w:val="Heading2"/>
    <w:uiPriority w:val="9"/>
    <w:rsid w:val="007F0FE1"/>
    <w:rPr>
      <w:rFonts w:ascii="Times New Roman" w:eastAsiaTheme="majorEastAsia" w:hAnsi="Times New Roman" w:cstheme="majorBidi"/>
      <w:b/>
      <w:bCs/>
      <w:color w:val="000000"/>
      <w:sz w:val="24"/>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8A6048"/>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802FDE"/>
    <w:rPr>
      <w:color w:val="0000FF" w:themeColor="hyperlink"/>
      <w:u w:val="single"/>
    </w:rPr>
  </w:style>
  <w:style w:type="character" w:customStyle="1" w:styleId="UnresolvedMention1">
    <w:name w:val="Unresolved Mention1"/>
    <w:basedOn w:val="DefaultParagraphFont"/>
    <w:uiPriority w:val="99"/>
    <w:semiHidden/>
    <w:unhideWhenUsed/>
    <w:rsid w:val="00802FDE"/>
    <w:rPr>
      <w:color w:val="605E5C"/>
      <w:shd w:val="clear" w:color="auto" w:fill="E1DFDD"/>
    </w:rPr>
  </w:style>
  <w:style w:type="paragraph" w:styleId="TOC1">
    <w:name w:val="toc 1"/>
    <w:basedOn w:val="Normal"/>
    <w:next w:val="Normal"/>
    <w:autoRedefine/>
    <w:uiPriority w:val="39"/>
    <w:unhideWhenUsed/>
    <w:rsid w:val="00F27174"/>
    <w:pPr>
      <w:spacing w:after="100"/>
    </w:pPr>
  </w:style>
  <w:style w:type="paragraph" w:styleId="TOC2">
    <w:name w:val="toc 2"/>
    <w:basedOn w:val="Normal"/>
    <w:next w:val="Normal"/>
    <w:autoRedefine/>
    <w:uiPriority w:val="39"/>
    <w:unhideWhenUsed/>
    <w:rsid w:val="00F27174"/>
    <w:pPr>
      <w:spacing w:after="100"/>
      <w:ind w:left="240"/>
    </w:pPr>
  </w:style>
  <w:style w:type="table" w:customStyle="1" w:styleId="TableGrid1">
    <w:name w:val="Table Grid1"/>
    <w:basedOn w:val="TableNormal"/>
    <w:next w:val="TableGrid"/>
    <w:uiPriority w:val="59"/>
    <w:rsid w:val="009F29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0A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876772">
      <w:bodyDiv w:val="1"/>
      <w:marLeft w:val="0"/>
      <w:marRight w:val="0"/>
      <w:marTop w:val="0"/>
      <w:marBottom w:val="0"/>
      <w:divBdr>
        <w:top w:val="none" w:sz="0" w:space="0" w:color="auto"/>
        <w:left w:val="none" w:sz="0" w:space="0" w:color="auto"/>
        <w:bottom w:val="none" w:sz="0" w:space="0" w:color="auto"/>
        <w:right w:val="none" w:sz="0" w:space="0" w:color="auto"/>
      </w:divBdr>
    </w:div>
    <w:div w:id="946348078">
      <w:bodyDiv w:val="1"/>
      <w:marLeft w:val="0"/>
      <w:marRight w:val="0"/>
      <w:marTop w:val="0"/>
      <w:marBottom w:val="0"/>
      <w:divBdr>
        <w:top w:val="none" w:sz="0" w:space="0" w:color="auto"/>
        <w:left w:val="none" w:sz="0" w:space="0" w:color="auto"/>
        <w:bottom w:val="none" w:sz="0" w:space="0" w:color="auto"/>
        <w:right w:val="none" w:sz="0" w:space="0" w:color="auto"/>
      </w:divBdr>
    </w:div>
    <w:div w:id="1461416967">
      <w:bodyDiv w:val="1"/>
      <w:marLeft w:val="0"/>
      <w:marRight w:val="0"/>
      <w:marTop w:val="0"/>
      <w:marBottom w:val="0"/>
      <w:divBdr>
        <w:top w:val="none" w:sz="0" w:space="0" w:color="auto"/>
        <w:left w:val="none" w:sz="0" w:space="0" w:color="auto"/>
        <w:bottom w:val="none" w:sz="0" w:space="0" w:color="auto"/>
        <w:right w:val="none" w:sz="0" w:space="0" w:color="auto"/>
      </w:divBdr>
    </w:div>
    <w:div w:id="1576280828">
      <w:bodyDiv w:val="1"/>
      <w:marLeft w:val="0"/>
      <w:marRight w:val="0"/>
      <w:marTop w:val="0"/>
      <w:marBottom w:val="0"/>
      <w:divBdr>
        <w:top w:val="none" w:sz="0" w:space="0" w:color="auto"/>
        <w:left w:val="none" w:sz="0" w:space="0" w:color="auto"/>
        <w:bottom w:val="none" w:sz="0" w:space="0" w:color="auto"/>
        <w:right w:val="none" w:sz="0" w:space="0" w:color="auto"/>
      </w:divBdr>
    </w:div>
    <w:div w:id="1808619253">
      <w:bodyDiv w:val="1"/>
      <w:marLeft w:val="0"/>
      <w:marRight w:val="0"/>
      <w:marTop w:val="0"/>
      <w:marBottom w:val="0"/>
      <w:divBdr>
        <w:top w:val="none" w:sz="0" w:space="0" w:color="auto"/>
        <w:left w:val="none" w:sz="0" w:space="0" w:color="auto"/>
        <w:bottom w:val="none" w:sz="0" w:space="0" w:color="auto"/>
        <w:right w:val="none" w:sz="0" w:space="0" w:color="auto"/>
      </w:divBdr>
    </w:div>
    <w:div w:id="21107303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bert.yansen@gmail.com"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B8D3D-8437-4E65-BD84-552C142F3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1507</TotalTime>
  <Pages>29</Pages>
  <Words>16195</Words>
  <Characters>92317</Characters>
  <Application>Microsoft Office Word</Application>
  <DocSecurity>0</DocSecurity>
  <Lines>769</Lines>
  <Paragraphs>216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108296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Dokman Marulitua Situmorang</cp:lastModifiedBy>
  <cp:revision>196</cp:revision>
  <dcterms:created xsi:type="dcterms:W3CDTF">2026-06-09T17:04:00Z</dcterms:created>
  <dcterms:modified xsi:type="dcterms:W3CDTF">2026-10-13T08:06:00Z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f14bd2ec-2d3e-3fa3-afda-9578901f2bca</vt:lpwstr>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http://www.zotero.org/styles/apa</vt:lpwstr>
  </property>
  <property fmtid="{D5CDD505-2E9C-101B-9397-08002B2CF9AE}" pid="8" name="Mendeley Recent Style Name 1_1">
    <vt:lpwstr>APA Style 7th edition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APSA Style Manual revised 2018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ASA Style Guide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